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4B1EF" w14:textId="77777777" w:rsidR="00C03B08" w:rsidRDefault="00D43EBA">
      <w:pPr>
        <w:pStyle w:val="Standard"/>
        <w:keepNext/>
        <w:spacing w:after="240" w:line="240" w:lineRule="auto"/>
      </w:pPr>
      <w:r>
        <w:rPr>
          <w:rFonts w:ascii="Arial" w:eastAsia="Arial" w:hAnsi="Arial" w:cs="Arial"/>
          <w:b/>
          <w:color w:val="000000"/>
          <w:sz w:val="36"/>
          <w:szCs w:val="36"/>
        </w:rPr>
        <w:t>Call-Off Schedule 14 (Service Levels)</w:t>
      </w:r>
    </w:p>
    <w:p w14:paraId="11BAC6AA" w14:textId="77777777" w:rsidR="00C03B08" w:rsidRDefault="00D43EBA">
      <w:pPr>
        <w:pStyle w:val="Standard"/>
        <w:numPr>
          <w:ilvl w:val="0"/>
          <w:numId w:val="7"/>
        </w:numPr>
        <w:tabs>
          <w:tab w:val="left" w:pos="862"/>
        </w:tabs>
        <w:spacing w:before="240" w:after="120" w:line="240" w:lineRule="auto"/>
      </w:pPr>
      <w:r>
        <w:rPr>
          <w:rFonts w:ascii="Arial Bold" w:eastAsia="Arial Bold" w:hAnsi="Arial Bold" w:cs="Arial Bold"/>
          <w:b/>
          <w:color w:val="000000"/>
          <w:sz w:val="24"/>
          <w:szCs w:val="24"/>
        </w:rPr>
        <w:t>Definitions</w:t>
      </w:r>
    </w:p>
    <w:p w14:paraId="45641B02"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C03B08" w14:paraId="115A514D" w14:textId="77777777">
        <w:tc>
          <w:tcPr>
            <w:tcW w:w="2410" w:type="dxa"/>
            <w:tcMar>
              <w:top w:w="0" w:type="dxa"/>
              <w:left w:w="108" w:type="dxa"/>
              <w:bottom w:w="0" w:type="dxa"/>
              <w:right w:w="108" w:type="dxa"/>
            </w:tcMar>
          </w:tcPr>
          <w:p w14:paraId="2C6CFEDC" w14:textId="77777777" w:rsidR="00C03B08" w:rsidRDefault="00C03B08">
            <w:pPr>
              <w:pStyle w:val="Standard"/>
              <w:spacing w:after="120" w:line="240" w:lineRule="auto"/>
              <w:ind w:left="-108"/>
              <w:rPr>
                <w:rFonts w:ascii="Arial" w:eastAsia="Arial" w:hAnsi="Arial" w:cs="Arial"/>
                <w:b/>
                <w:color w:val="000000"/>
                <w:sz w:val="24"/>
                <w:szCs w:val="24"/>
              </w:rPr>
            </w:pPr>
          </w:p>
          <w:p w14:paraId="6C79FD4F" w14:textId="77777777" w:rsidR="00C03B08" w:rsidRDefault="00D43EBA">
            <w:pPr>
              <w:pStyle w:val="Standard"/>
              <w:spacing w:after="120" w:line="240" w:lineRule="auto"/>
              <w:ind w:left="-108"/>
            </w:pPr>
            <w:r>
              <w:rPr>
                <w:rFonts w:ascii="Arial" w:eastAsia="Arial" w:hAnsi="Arial" w:cs="Arial"/>
                <w:b/>
                <w:color w:val="000000"/>
                <w:sz w:val="24"/>
                <w:szCs w:val="24"/>
              </w:rPr>
              <w:t>“Amber Service Level Performance Measure”</w:t>
            </w:r>
          </w:p>
          <w:p w14:paraId="1EF7B32B" w14:textId="77777777" w:rsidR="00C03B08" w:rsidRDefault="00C03B08">
            <w:pPr>
              <w:pStyle w:val="Standard"/>
              <w:spacing w:after="120" w:line="240" w:lineRule="auto"/>
              <w:ind w:left="-108"/>
              <w:rPr>
                <w:rFonts w:ascii="Arial" w:eastAsia="Arial" w:hAnsi="Arial" w:cs="Arial"/>
                <w:b/>
                <w:color w:val="000000"/>
                <w:sz w:val="24"/>
                <w:szCs w:val="24"/>
              </w:rPr>
            </w:pPr>
          </w:p>
          <w:p w14:paraId="1FA128A7" w14:textId="77777777" w:rsidR="00C03B08" w:rsidRDefault="00D43EBA">
            <w:pPr>
              <w:pStyle w:val="Standard"/>
              <w:spacing w:after="120" w:line="240" w:lineRule="auto"/>
              <w:ind w:left="-108"/>
            </w:pPr>
            <w:r>
              <w:rPr>
                <w:rFonts w:ascii="Arial" w:eastAsia="Arial" w:hAnsi="Arial" w:cs="Arial"/>
                <w:b/>
                <w:color w:val="000000"/>
                <w:sz w:val="24"/>
                <w:szCs w:val="24"/>
              </w:rPr>
              <w:t>“Critical Service Level Failure”</w:t>
            </w:r>
          </w:p>
          <w:p w14:paraId="04A152B5" w14:textId="77777777" w:rsidR="00C03B08" w:rsidRDefault="00C03B08">
            <w:pPr>
              <w:pStyle w:val="Standard"/>
              <w:spacing w:after="120" w:line="240" w:lineRule="auto"/>
              <w:ind w:left="-108"/>
              <w:rPr>
                <w:rFonts w:ascii="Arial" w:eastAsia="Arial" w:hAnsi="Arial" w:cs="Arial"/>
                <w:b/>
                <w:color w:val="000000"/>
                <w:sz w:val="24"/>
                <w:szCs w:val="24"/>
              </w:rPr>
            </w:pPr>
          </w:p>
          <w:p w14:paraId="3BEE9A88" w14:textId="77777777" w:rsidR="00C03B08" w:rsidRDefault="00D43EBA">
            <w:pPr>
              <w:pStyle w:val="Standard"/>
              <w:spacing w:after="120" w:line="240" w:lineRule="auto"/>
              <w:ind w:left="-108"/>
            </w:pPr>
            <w:r>
              <w:rPr>
                <w:rFonts w:ascii="Arial" w:eastAsia="Arial" w:hAnsi="Arial" w:cs="Arial"/>
                <w:b/>
                <w:color w:val="000000"/>
                <w:sz w:val="24"/>
                <w:szCs w:val="24"/>
              </w:rPr>
              <w:t>“Green Service Level Performance Measure”</w:t>
            </w:r>
          </w:p>
          <w:p w14:paraId="4BAB36C3" w14:textId="77777777" w:rsidR="00C03B08" w:rsidRDefault="00C03B08">
            <w:pPr>
              <w:pStyle w:val="Standard"/>
              <w:spacing w:after="120" w:line="240" w:lineRule="auto"/>
              <w:ind w:left="-108"/>
              <w:rPr>
                <w:rFonts w:ascii="Arial" w:eastAsia="Arial" w:hAnsi="Arial" w:cs="Arial"/>
                <w:color w:val="000000"/>
                <w:sz w:val="24"/>
                <w:szCs w:val="24"/>
              </w:rPr>
            </w:pPr>
          </w:p>
          <w:p w14:paraId="0260AB23" w14:textId="77777777" w:rsidR="00C03B08" w:rsidRDefault="00D43EBA">
            <w:pPr>
              <w:pStyle w:val="Standard"/>
              <w:spacing w:after="120" w:line="240" w:lineRule="auto"/>
              <w:ind w:left="-108"/>
            </w:pPr>
            <w:r>
              <w:rPr>
                <w:rFonts w:ascii="Arial" w:eastAsia="Arial" w:hAnsi="Arial" w:cs="Arial"/>
                <w:b/>
                <w:color w:val="000000"/>
                <w:sz w:val="24"/>
                <w:szCs w:val="24"/>
              </w:rPr>
              <w:t>“Red Service Level Performance Measure”</w:t>
            </w:r>
          </w:p>
          <w:p w14:paraId="51921E74" w14:textId="77777777" w:rsidR="00C03B08" w:rsidRDefault="00C03B08">
            <w:pPr>
              <w:pStyle w:val="Standard"/>
              <w:spacing w:after="120" w:line="240" w:lineRule="auto"/>
              <w:ind w:left="-108"/>
              <w:rPr>
                <w:rFonts w:ascii="Arial" w:eastAsia="Arial" w:hAnsi="Arial" w:cs="Arial"/>
                <w:b/>
                <w:color w:val="000000"/>
                <w:sz w:val="24"/>
                <w:szCs w:val="24"/>
              </w:rPr>
            </w:pPr>
          </w:p>
        </w:tc>
        <w:tc>
          <w:tcPr>
            <w:tcW w:w="5952" w:type="dxa"/>
            <w:tcMar>
              <w:top w:w="0" w:type="dxa"/>
              <w:left w:w="108" w:type="dxa"/>
              <w:bottom w:w="0" w:type="dxa"/>
              <w:right w:w="108" w:type="dxa"/>
            </w:tcMar>
          </w:tcPr>
          <w:p w14:paraId="6DA71F95" w14:textId="77777777" w:rsidR="00C03B08" w:rsidRPr="00522651" w:rsidRDefault="00C03B08">
            <w:pPr>
              <w:pStyle w:val="Standard"/>
              <w:tabs>
                <w:tab w:val="left" w:pos="-9"/>
                <w:tab w:val="left" w:pos="161"/>
              </w:tabs>
              <w:spacing w:after="120" w:line="240" w:lineRule="auto"/>
              <w:ind w:left="170" w:hanging="170"/>
              <w:rPr>
                <w:rFonts w:ascii="Arial" w:eastAsia="Arial" w:hAnsi="Arial" w:cs="Arial"/>
                <w:color w:val="000000"/>
                <w:sz w:val="24"/>
                <w:szCs w:val="24"/>
              </w:rPr>
            </w:pPr>
          </w:p>
          <w:p w14:paraId="3F7386FF" w14:textId="77777777" w:rsidR="00C03B08" w:rsidRPr="00522651" w:rsidRDefault="00D43EBA">
            <w:pPr>
              <w:pStyle w:val="Standard"/>
              <w:tabs>
                <w:tab w:val="left" w:pos="-9"/>
                <w:tab w:val="left" w:pos="161"/>
              </w:tabs>
              <w:spacing w:after="120" w:line="240" w:lineRule="auto"/>
              <w:ind w:left="170" w:hanging="170"/>
              <w:rPr>
                <w:sz w:val="24"/>
                <w:szCs w:val="24"/>
              </w:rPr>
            </w:pPr>
            <w:r w:rsidRPr="00522651">
              <w:rPr>
                <w:rFonts w:ascii="Arial" w:eastAsia="Arial" w:hAnsi="Arial" w:cs="Arial"/>
                <w:color w:val="000000"/>
                <w:sz w:val="24"/>
                <w:szCs w:val="24"/>
              </w:rPr>
              <w:t>shall be the amber service level performance measure as set out against the relevant Service Level Performance Criterion in the Annex to Part A of this Schedule;</w:t>
            </w:r>
          </w:p>
          <w:p w14:paraId="4E0EC5D1" w14:textId="77777777" w:rsidR="00C03B08" w:rsidRPr="00522651" w:rsidRDefault="00C03B08">
            <w:pPr>
              <w:pStyle w:val="Standard"/>
              <w:tabs>
                <w:tab w:val="left" w:pos="-9"/>
                <w:tab w:val="left" w:pos="161"/>
              </w:tabs>
              <w:spacing w:after="120" w:line="240" w:lineRule="auto"/>
              <w:ind w:left="170" w:hanging="170"/>
              <w:rPr>
                <w:rFonts w:ascii="Arial" w:eastAsia="Arial" w:hAnsi="Arial" w:cs="Arial"/>
                <w:color w:val="000000"/>
                <w:sz w:val="24"/>
                <w:szCs w:val="24"/>
              </w:rPr>
            </w:pPr>
          </w:p>
          <w:p w14:paraId="27C7D352" w14:textId="77777777" w:rsidR="00C03B08" w:rsidRPr="00522651" w:rsidRDefault="00D43EBA">
            <w:pPr>
              <w:pStyle w:val="Standard"/>
              <w:tabs>
                <w:tab w:val="left" w:pos="-9"/>
                <w:tab w:val="left" w:pos="161"/>
              </w:tabs>
              <w:spacing w:after="120" w:line="240" w:lineRule="auto"/>
              <w:ind w:left="170" w:hanging="170"/>
              <w:rPr>
                <w:sz w:val="24"/>
                <w:szCs w:val="24"/>
              </w:rPr>
            </w:pPr>
            <w:r w:rsidRPr="00522651">
              <w:rPr>
                <w:rFonts w:ascii="Arial" w:eastAsia="Arial" w:hAnsi="Arial" w:cs="Arial"/>
                <w:color w:val="000000"/>
                <w:sz w:val="24"/>
                <w:szCs w:val="24"/>
              </w:rPr>
              <w:t>means a failure to meet a Red Service Level Performance Measure for a Critical Service Level defined in the Order Form;</w:t>
            </w:r>
          </w:p>
          <w:p w14:paraId="3802B5F3" w14:textId="77777777" w:rsidR="00C03B08" w:rsidRPr="00522651" w:rsidRDefault="00C03B08">
            <w:pPr>
              <w:pStyle w:val="Standard"/>
              <w:tabs>
                <w:tab w:val="left" w:pos="-9"/>
                <w:tab w:val="left" w:pos="161"/>
              </w:tabs>
              <w:spacing w:after="120" w:line="240" w:lineRule="auto"/>
              <w:ind w:left="170" w:hanging="170"/>
              <w:rPr>
                <w:rFonts w:ascii="Arial" w:eastAsia="Arial" w:hAnsi="Arial" w:cs="Arial"/>
                <w:color w:val="000000"/>
                <w:sz w:val="24"/>
                <w:szCs w:val="24"/>
              </w:rPr>
            </w:pPr>
          </w:p>
          <w:p w14:paraId="5B0AF7DA" w14:textId="77777777" w:rsidR="00C03B08" w:rsidRPr="00522651" w:rsidRDefault="00D43EBA">
            <w:pPr>
              <w:pStyle w:val="Standard"/>
              <w:tabs>
                <w:tab w:val="left" w:pos="-9"/>
                <w:tab w:val="left" w:pos="161"/>
              </w:tabs>
              <w:spacing w:after="120" w:line="240" w:lineRule="auto"/>
              <w:ind w:left="170" w:hanging="170"/>
              <w:rPr>
                <w:sz w:val="24"/>
                <w:szCs w:val="24"/>
              </w:rPr>
            </w:pPr>
            <w:r w:rsidRPr="00522651">
              <w:rPr>
                <w:rFonts w:ascii="Arial" w:eastAsia="Arial" w:hAnsi="Arial" w:cs="Arial"/>
                <w:color w:val="000000"/>
                <w:sz w:val="24"/>
                <w:szCs w:val="24"/>
              </w:rPr>
              <w:t>shall be the green service level performance measure as set out against the relevant Service Level Performance Criterion in the Annex to Part A of this Schedule;</w:t>
            </w:r>
          </w:p>
          <w:p w14:paraId="4ED35876" w14:textId="77777777" w:rsidR="00C03B08" w:rsidRPr="00522651" w:rsidRDefault="00C03B08">
            <w:pPr>
              <w:pStyle w:val="Standard"/>
              <w:tabs>
                <w:tab w:val="left" w:pos="-9"/>
                <w:tab w:val="left" w:pos="161"/>
              </w:tabs>
              <w:spacing w:after="120" w:line="240" w:lineRule="auto"/>
              <w:ind w:left="170" w:hanging="170"/>
              <w:rPr>
                <w:rFonts w:ascii="Arial" w:eastAsia="Arial" w:hAnsi="Arial" w:cs="Arial"/>
                <w:color w:val="000000"/>
                <w:sz w:val="24"/>
                <w:szCs w:val="24"/>
              </w:rPr>
            </w:pPr>
          </w:p>
          <w:p w14:paraId="1CF580C9" w14:textId="77777777" w:rsidR="00C03B08" w:rsidRPr="00522651" w:rsidRDefault="00D43EBA">
            <w:pPr>
              <w:pStyle w:val="Standard"/>
              <w:tabs>
                <w:tab w:val="left" w:pos="-9"/>
                <w:tab w:val="left" w:pos="161"/>
              </w:tabs>
              <w:spacing w:after="120" w:line="240" w:lineRule="auto"/>
              <w:ind w:left="170" w:hanging="170"/>
              <w:rPr>
                <w:sz w:val="24"/>
                <w:szCs w:val="24"/>
              </w:rPr>
            </w:pPr>
            <w:r w:rsidRPr="00522651">
              <w:rPr>
                <w:rFonts w:ascii="Arial" w:eastAsia="Arial" w:hAnsi="Arial" w:cs="Arial"/>
                <w:color w:val="000000"/>
                <w:sz w:val="24"/>
                <w:szCs w:val="24"/>
              </w:rPr>
              <w:t>shall be the red service level performance measure as set out against the relevant Service Level Performance Criterion in the Annex to Part A of this Schedule;</w:t>
            </w:r>
          </w:p>
        </w:tc>
      </w:tr>
      <w:tr w:rsidR="00C03B08" w14:paraId="7B4C0CD5" w14:textId="77777777">
        <w:tc>
          <w:tcPr>
            <w:tcW w:w="2410" w:type="dxa"/>
            <w:tcMar>
              <w:top w:w="0" w:type="dxa"/>
              <w:left w:w="108" w:type="dxa"/>
              <w:bottom w:w="0" w:type="dxa"/>
              <w:right w:w="108" w:type="dxa"/>
            </w:tcMar>
          </w:tcPr>
          <w:p w14:paraId="50EDA5E1" w14:textId="77777777" w:rsidR="00C03B08" w:rsidRDefault="00D43EBA">
            <w:pPr>
              <w:pStyle w:val="Standard"/>
              <w:spacing w:after="120" w:line="240" w:lineRule="auto"/>
              <w:ind w:left="-108"/>
            </w:pPr>
            <w:r>
              <w:rPr>
                <w:rFonts w:ascii="Arial" w:eastAsia="Arial" w:hAnsi="Arial" w:cs="Arial"/>
                <w:b/>
                <w:color w:val="000000"/>
                <w:sz w:val="24"/>
                <w:szCs w:val="24"/>
              </w:rPr>
              <w:t>"Service Credits"</w:t>
            </w:r>
          </w:p>
        </w:tc>
        <w:tc>
          <w:tcPr>
            <w:tcW w:w="5952" w:type="dxa"/>
            <w:tcMar>
              <w:top w:w="0" w:type="dxa"/>
              <w:left w:w="108" w:type="dxa"/>
              <w:bottom w:w="0" w:type="dxa"/>
              <w:right w:w="108" w:type="dxa"/>
            </w:tcMar>
          </w:tcPr>
          <w:p w14:paraId="48017757" w14:textId="77777777" w:rsidR="00C03B08" w:rsidRPr="00522651" w:rsidRDefault="00D43EBA" w:rsidP="001B405D">
            <w:pPr>
              <w:pStyle w:val="Standard"/>
              <w:tabs>
                <w:tab w:val="left" w:pos="-9"/>
                <w:tab w:val="left" w:pos="161"/>
              </w:tabs>
              <w:spacing w:after="120" w:line="240" w:lineRule="auto"/>
              <w:rPr>
                <w:sz w:val="24"/>
                <w:szCs w:val="24"/>
              </w:rPr>
            </w:pPr>
            <w:r w:rsidRPr="00522651">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C03B08" w14:paraId="1F5E240D" w14:textId="77777777">
        <w:trPr>
          <w:trHeight w:val="359"/>
        </w:trPr>
        <w:tc>
          <w:tcPr>
            <w:tcW w:w="2410" w:type="dxa"/>
            <w:tcMar>
              <w:top w:w="0" w:type="dxa"/>
              <w:left w:w="108" w:type="dxa"/>
              <w:bottom w:w="0" w:type="dxa"/>
              <w:right w:w="108" w:type="dxa"/>
            </w:tcMar>
          </w:tcPr>
          <w:p w14:paraId="2F954B7B" w14:textId="77777777" w:rsidR="00C03B08" w:rsidRDefault="00D43EBA">
            <w:pPr>
              <w:pStyle w:val="Standard"/>
              <w:spacing w:after="120" w:line="240" w:lineRule="auto"/>
              <w:ind w:left="-108"/>
            </w:pPr>
            <w:r>
              <w:rPr>
                <w:rFonts w:ascii="Arial" w:eastAsia="Arial" w:hAnsi="Arial" w:cs="Arial"/>
                <w:b/>
                <w:color w:val="000000"/>
                <w:sz w:val="24"/>
                <w:szCs w:val="24"/>
              </w:rPr>
              <w:t>"Service Credit Cap"</w:t>
            </w:r>
          </w:p>
        </w:tc>
        <w:tc>
          <w:tcPr>
            <w:tcW w:w="5952" w:type="dxa"/>
            <w:tcMar>
              <w:top w:w="0" w:type="dxa"/>
              <w:left w:w="108" w:type="dxa"/>
              <w:bottom w:w="0" w:type="dxa"/>
              <w:right w:w="108" w:type="dxa"/>
            </w:tcMar>
          </w:tcPr>
          <w:p w14:paraId="0D7D6A27" w14:textId="77777777" w:rsidR="00C03B08" w:rsidRPr="00522651" w:rsidRDefault="00D43EBA" w:rsidP="001B405D">
            <w:pPr>
              <w:pStyle w:val="Standard"/>
              <w:tabs>
                <w:tab w:val="left" w:pos="-9"/>
                <w:tab w:val="left" w:pos="161"/>
              </w:tabs>
              <w:spacing w:after="120" w:line="240" w:lineRule="auto"/>
              <w:rPr>
                <w:sz w:val="24"/>
                <w:szCs w:val="24"/>
              </w:rPr>
            </w:pPr>
            <w:r w:rsidRPr="00522651">
              <w:rPr>
                <w:rFonts w:ascii="Arial" w:eastAsia="Arial" w:hAnsi="Arial" w:cs="Arial"/>
                <w:color w:val="000000"/>
                <w:sz w:val="24"/>
                <w:szCs w:val="24"/>
              </w:rPr>
              <w:t>has the meaning given to it in the Order Form;</w:t>
            </w:r>
          </w:p>
        </w:tc>
      </w:tr>
      <w:tr w:rsidR="00C03B08" w14:paraId="42CD1473" w14:textId="77777777">
        <w:tc>
          <w:tcPr>
            <w:tcW w:w="2410" w:type="dxa"/>
            <w:tcMar>
              <w:top w:w="0" w:type="dxa"/>
              <w:left w:w="108" w:type="dxa"/>
              <w:bottom w:w="0" w:type="dxa"/>
              <w:right w:w="108" w:type="dxa"/>
            </w:tcMar>
          </w:tcPr>
          <w:p w14:paraId="7999BDF1" w14:textId="77777777" w:rsidR="00C03B08" w:rsidRDefault="00C03B08">
            <w:pPr>
              <w:pStyle w:val="Standard"/>
              <w:spacing w:after="120" w:line="240" w:lineRule="auto"/>
              <w:ind w:left="-108"/>
              <w:rPr>
                <w:rFonts w:ascii="Arial" w:eastAsia="Arial" w:hAnsi="Arial" w:cs="Arial"/>
                <w:b/>
                <w:color w:val="000000"/>
                <w:sz w:val="24"/>
                <w:szCs w:val="24"/>
              </w:rPr>
            </w:pPr>
          </w:p>
        </w:tc>
        <w:tc>
          <w:tcPr>
            <w:tcW w:w="5952" w:type="dxa"/>
            <w:tcMar>
              <w:top w:w="0" w:type="dxa"/>
              <w:left w:w="108" w:type="dxa"/>
              <w:bottom w:w="0" w:type="dxa"/>
              <w:right w:w="108" w:type="dxa"/>
            </w:tcMar>
          </w:tcPr>
          <w:p w14:paraId="1A18C1BC" w14:textId="77777777" w:rsidR="00C03B08" w:rsidRPr="00522651" w:rsidRDefault="00C03B08" w:rsidP="001B405D">
            <w:pPr>
              <w:pStyle w:val="Standard"/>
              <w:tabs>
                <w:tab w:val="left" w:pos="-9"/>
                <w:tab w:val="left" w:pos="161"/>
              </w:tabs>
              <w:spacing w:after="120" w:line="240" w:lineRule="auto"/>
              <w:ind w:left="170"/>
              <w:rPr>
                <w:rFonts w:ascii="Arial" w:eastAsia="Arial" w:hAnsi="Arial" w:cs="Arial"/>
                <w:color w:val="000000"/>
                <w:sz w:val="24"/>
                <w:szCs w:val="24"/>
              </w:rPr>
            </w:pPr>
          </w:p>
        </w:tc>
      </w:tr>
      <w:tr w:rsidR="00C03B08" w14:paraId="570AC543" w14:textId="77777777">
        <w:tc>
          <w:tcPr>
            <w:tcW w:w="2410" w:type="dxa"/>
            <w:tcMar>
              <w:top w:w="0" w:type="dxa"/>
              <w:left w:w="108" w:type="dxa"/>
              <w:bottom w:w="0" w:type="dxa"/>
              <w:right w:w="108" w:type="dxa"/>
            </w:tcMar>
          </w:tcPr>
          <w:p w14:paraId="509660BC" w14:textId="77777777" w:rsidR="00C03B08" w:rsidRDefault="00D43EBA">
            <w:pPr>
              <w:pStyle w:val="Standard"/>
              <w:spacing w:after="120" w:line="240" w:lineRule="auto"/>
              <w:ind w:left="-108"/>
            </w:pPr>
            <w:r>
              <w:rPr>
                <w:rFonts w:ascii="Arial" w:eastAsia="Arial" w:hAnsi="Arial" w:cs="Arial"/>
                <w:b/>
                <w:color w:val="000000"/>
                <w:sz w:val="24"/>
                <w:szCs w:val="24"/>
              </w:rPr>
              <w:t>"Service Level Failure"</w:t>
            </w:r>
          </w:p>
        </w:tc>
        <w:tc>
          <w:tcPr>
            <w:tcW w:w="5952" w:type="dxa"/>
            <w:tcMar>
              <w:top w:w="0" w:type="dxa"/>
              <w:left w:w="108" w:type="dxa"/>
              <w:bottom w:w="0" w:type="dxa"/>
              <w:right w:w="108" w:type="dxa"/>
            </w:tcMar>
          </w:tcPr>
          <w:p w14:paraId="3409E7C9" w14:textId="77777777" w:rsidR="00C03B08" w:rsidRPr="00522651" w:rsidRDefault="00D43EBA" w:rsidP="001B405D">
            <w:pPr>
              <w:pStyle w:val="Standard"/>
              <w:tabs>
                <w:tab w:val="left" w:pos="161"/>
              </w:tabs>
              <w:spacing w:after="120" w:line="240" w:lineRule="auto"/>
              <w:ind w:left="170"/>
              <w:jc w:val="both"/>
              <w:rPr>
                <w:sz w:val="24"/>
                <w:szCs w:val="24"/>
              </w:rPr>
            </w:pPr>
            <w:r w:rsidRPr="00522651">
              <w:rPr>
                <w:rFonts w:ascii="Arial" w:eastAsia="Arial" w:hAnsi="Arial" w:cs="Arial"/>
                <w:color w:val="000000"/>
                <w:sz w:val="24"/>
                <w:szCs w:val="24"/>
              </w:rPr>
              <w:t>means a failure to meet the Service Level Performance Measure in respect of a Service Level as follows:</w:t>
            </w:r>
          </w:p>
          <w:p w14:paraId="7B0DDB8A" w14:textId="77777777" w:rsidR="00C03B08" w:rsidRPr="00522651" w:rsidRDefault="00D43EBA">
            <w:pPr>
              <w:pStyle w:val="Standard"/>
              <w:numPr>
                <w:ilvl w:val="2"/>
                <w:numId w:val="4"/>
              </w:numPr>
              <w:tabs>
                <w:tab w:val="left" w:pos="1224"/>
              </w:tabs>
              <w:spacing w:after="120" w:line="240" w:lineRule="auto"/>
              <w:jc w:val="both"/>
              <w:rPr>
                <w:sz w:val="24"/>
                <w:szCs w:val="24"/>
              </w:rPr>
            </w:pPr>
            <w:r w:rsidRPr="00522651">
              <w:rPr>
                <w:rFonts w:ascii="Arial" w:eastAsia="Arial" w:hAnsi="Arial" w:cs="Arial"/>
                <w:color w:val="000000"/>
                <w:sz w:val="24"/>
                <w:szCs w:val="24"/>
              </w:rPr>
              <w:t>the Supplier’s performance of any Critical Service Level is reported as failing to meet the Red Service Level Performance Measure in a given Service Period;</w:t>
            </w:r>
          </w:p>
          <w:p w14:paraId="5DAC2EF3" w14:textId="77777777" w:rsidR="00C03B08" w:rsidRPr="00522651" w:rsidRDefault="00D43EBA">
            <w:pPr>
              <w:pStyle w:val="Standard"/>
              <w:numPr>
                <w:ilvl w:val="2"/>
                <w:numId w:val="4"/>
              </w:numPr>
              <w:tabs>
                <w:tab w:val="left" w:pos="1224"/>
              </w:tabs>
              <w:spacing w:after="120" w:line="240" w:lineRule="auto"/>
              <w:jc w:val="both"/>
              <w:rPr>
                <w:sz w:val="24"/>
                <w:szCs w:val="24"/>
              </w:rPr>
            </w:pPr>
            <w:r w:rsidRPr="00522651">
              <w:rPr>
                <w:rFonts w:ascii="Arial" w:eastAsia="Arial" w:hAnsi="Arial" w:cs="Arial"/>
                <w:color w:val="000000"/>
                <w:sz w:val="24"/>
                <w:szCs w:val="24"/>
              </w:rPr>
              <w:t xml:space="preserve">the Supplier’s performance of a single Service Level is reported as failing to meet the Red Service Level Performance Measure for that Service Level twice or more </w:t>
            </w:r>
            <w:r w:rsidRPr="00522651">
              <w:rPr>
                <w:rFonts w:ascii="Arial" w:eastAsia="Arial" w:hAnsi="Arial" w:cs="Arial"/>
                <w:color w:val="000000"/>
                <w:sz w:val="24"/>
                <w:szCs w:val="24"/>
              </w:rPr>
              <w:lastRenderedPageBreak/>
              <w:t>in any three (3) consecutive Service Periods;</w:t>
            </w:r>
          </w:p>
          <w:p w14:paraId="3191F6D2" w14:textId="77777777" w:rsidR="00C03B08" w:rsidRPr="00522651" w:rsidRDefault="00D43EBA">
            <w:pPr>
              <w:pStyle w:val="Standard"/>
              <w:numPr>
                <w:ilvl w:val="2"/>
                <w:numId w:val="4"/>
              </w:numPr>
              <w:tabs>
                <w:tab w:val="left" w:pos="1224"/>
              </w:tabs>
              <w:spacing w:after="120" w:line="240" w:lineRule="auto"/>
              <w:jc w:val="both"/>
              <w:rPr>
                <w:sz w:val="24"/>
                <w:szCs w:val="24"/>
              </w:rPr>
            </w:pPr>
            <w:r w:rsidRPr="00522651">
              <w:rPr>
                <w:rFonts w:ascii="Arial" w:eastAsia="Arial" w:hAnsi="Arial" w:cs="Arial"/>
                <w:color w:val="000000"/>
                <w:sz w:val="24"/>
                <w:szCs w:val="24"/>
              </w:rPr>
              <w:t>the Supplier’s performance of a single Service Level is reported as failing to meet the Red Service Level Performance Measure for that Service Level four (4) times or more in any twelve (12) consecutive Service Periods; and</w:t>
            </w:r>
          </w:p>
          <w:p w14:paraId="47B6A843" w14:textId="77777777" w:rsidR="00C03B08" w:rsidRPr="00522651" w:rsidRDefault="00D43EBA">
            <w:pPr>
              <w:pStyle w:val="Standard"/>
              <w:numPr>
                <w:ilvl w:val="2"/>
                <w:numId w:val="4"/>
              </w:numPr>
              <w:tabs>
                <w:tab w:val="left" w:pos="1224"/>
              </w:tabs>
              <w:spacing w:after="120" w:line="240" w:lineRule="auto"/>
              <w:jc w:val="both"/>
              <w:rPr>
                <w:sz w:val="24"/>
                <w:szCs w:val="24"/>
              </w:rPr>
            </w:pPr>
            <w:r w:rsidRPr="00522651">
              <w:rPr>
                <w:rFonts w:ascii="Arial" w:eastAsia="Arial" w:hAnsi="Arial" w:cs="Arial"/>
                <w:color w:val="000000"/>
                <w:sz w:val="24"/>
                <w:szCs w:val="24"/>
              </w:rPr>
              <w:t>the Supplier’s performance of a single Service Level is reported as failing to meet the Amber Service Level Performance Measure for that Service Level six (6) times or more in any twelve (12) consecutive Service Periods.</w:t>
            </w:r>
          </w:p>
          <w:p w14:paraId="4561E13D" w14:textId="77777777" w:rsidR="00C03B08" w:rsidRPr="00522651" w:rsidRDefault="00C03B08">
            <w:pPr>
              <w:pStyle w:val="Standard"/>
              <w:tabs>
                <w:tab w:val="left" w:pos="-9"/>
                <w:tab w:val="left" w:pos="161"/>
              </w:tabs>
              <w:spacing w:after="120" w:line="240" w:lineRule="auto"/>
              <w:ind w:left="170" w:hanging="170"/>
              <w:rPr>
                <w:rFonts w:ascii="Arial" w:eastAsia="Arial" w:hAnsi="Arial" w:cs="Arial"/>
                <w:color w:val="000000"/>
                <w:sz w:val="24"/>
                <w:szCs w:val="24"/>
              </w:rPr>
            </w:pPr>
          </w:p>
        </w:tc>
      </w:tr>
      <w:tr w:rsidR="00C03B08" w14:paraId="5051CE61" w14:textId="77777777">
        <w:tc>
          <w:tcPr>
            <w:tcW w:w="2410" w:type="dxa"/>
            <w:tcMar>
              <w:top w:w="0" w:type="dxa"/>
              <w:left w:w="108" w:type="dxa"/>
              <w:bottom w:w="0" w:type="dxa"/>
              <w:right w:w="108" w:type="dxa"/>
            </w:tcMar>
          </w:tcPr>
          <w:p w14:paraId="533E8EF4" w14:textId="77777777" w:rsidR="00C03B08" w:rsidRDefault="00D43EBA">
            <w:pPr>
              <w:pStyle w:val="Standard"/>
              <w:spacing w:after="120" w:line="240" w:lineRule="auto"/>
              <w:ind w:left="-108"/>
            </w:pPr>
            <w:r>
              <w:rPr>
                <w:rFonts w:ascii="Arial" w:eastAsia="Arial" w:hAnsi="Arial" w:cs="Arial"/>
                <w:b/>
                <w:color w:val="000000"/>
                <w:sz w:val="24"/>
                <w:szCs w:val="24"/>
              </w:rPr>
              <w:lastRenderedPageBreak/>
              <w:t>"Service Level Performance Measure"</w:t>
            </w:r>
          </w:p>
        </w:tc>
        <w:tc>
          <w:tcPr>
            <w:tcW w:w="5952" w:type="dxa"/>
            <w:tcMar>
              <w:top w:w="0" w:type="dxa"/>
              <w:left w:w="108" w:type="dxa"/>
              <w:bottom w:w="0" w:type="dxa"/>
              <w:right w:w="108" w:type="dxa"/>
            </w:tcMar>
          </w:tcPr>
          <w:p w14:paraId="21FF0AE6" w14:textId="77777777" w:rsidR="00C03B08" w:rsidRPr="00522651" w:rsidRDefault="00D43EBA" w:rsidP="00522651">
            <w:pPr>
              <w:pStyle w:val="Standard"/>
              <w:tabs>
                <w:tab w:val="left" w:pos="-9"/>
                <w:tab w:val="left" w:pos="161"/>
              </w:tabs>
              <w:spacing w:after="120" w:line="240" w:lineRule="auto"/>
              <w:ind w:left="170"/>
              <w:rPr>
                <w:sz w:val="24"/>
                <w:szCs w:val="24"/>
              </w:rPr>
            </w:pPr>
            <w:r w:rsidRPr="00522651">
              <w:rPr>
                <w:rFonts w:ascii="Arial" w:eastAsia="Arial" w:hAnsi="Arial" w:cs="Arial"/>
                <w:color w:val="000000"/>
                <w:sz w:val="24"/>
                <w:szCs w:val="24"/>
              </w:rPr>
              <w:t>A Red Service Level Performance Measure, an Amber Service Level Performance Measure or a Green Service Level Performance Measure as set out against the relevant Service Level in the Annex to Part A of this Schedule; and</w:t>
            </w:r>
          </w:p>
        </w:tc>
      </w:tr>
      <w:tr w:rsidR="00C03B08" w14:paraId="68EA207B" w14:textId="77777777">
        <w:tc>
          <w:tcPr>
            <w:tcW w:w="2410" w:type="dxa"/>
            <w:tcMar>
              <w:top w:w="0" w:type="dxa"/>
              <w:left w:w="108" w:type="dxa"/>
              <w:bottom w:w="0" w:type="dxa"/>
              <w:right w:w="108" w:type="dxa"/>
            </w:tcMar>
          </w:tcPr>
          <w:p w14:paraId="6D673B3F" w14:textId="77777777" w:rsidR="00C03B08" w:rsidRDefault="00D43EBA">
            <w:pPr>
              <w:pStyle w:val="Standard"/>
              <w:spacing w:after="120" w:line="240" w:lineRule="auto"/>
              <w:ind w:left="-108"/>
            </w:pPr>
            <w:r>
              <w:rPr>
                <w:rFonts w:ascii="Arial" w:eastAsia="Arial" w:hAnsi="Arial" w:cs="Arial"/>
                <w:b/>
                <w:color w:val="000000"/>
                <w:sz w:val="24"/>
                <w:szCs w:val="24"/>
              </w:rPr>
              <w:t>"Service Level Threshold"</w:t>
            </w:r>
          </w:p>
        </w:tc>
        <w:tc>
          <w:tcPr>
            <w:tcW w:w="5952" w:type="dxa"/>
            <w:tcMar>
              <w:top w:w="0" w:type="dxa"/>
              <w:left w:w="108" w:type="dxa"/>
              <w:bottom w:w="0" w:type="dxa"/>
              <w:right w:w="108" w:type="dxa"/>
            </w:tcMar>
          </w:tcPr>
          <w:p w14:paraId="2C58E230" w14:textId="77777777" w:rsidR="00C03B08" w:rsidRPr="00522651" w:rsidRDefault="00D43EBA" w:rsidP="00522651">
            <w:pPr>
              <w:pStyle w:val="Standard"/>
              <w:tabs>
                <w:tab w:val="left" w:pos="-9"/>
                <w:tab w:val="left" w:pos="161"/>
              </w:tabs>
              <w:spacing w:after="120" w:line="240" w:lineRule="auto"/>
              <w:rPr>
                <w:sz w:val="24"/>
                <w:szCs w:val="24"/>
              </w:rPr>
            </w:pPr>
            <w:r w:rsidRPr="00522651">
              <w:rPr>
                <w:rFonts w:ascii="Arial" w:eastAsia="Arial" w:hAnsi="Arial" w:cs="Arial"/>
                <w:color w:val="000000"/>
                <w:sz w:val="24"/>
                <w:szCs w:val="24"/>
              </w:rPr>
              <w:t>shall be as set out against the relevant Service Level in the Annex to Part A of this Schedule.</w:t>
            </w:r>
          </w:p>
        </w:tc>
      </w:tr>
    </w:tbl>
    <w:p w14:paraId="78ECEEBD" w14:textId="77777777" w:rsidR="00C03B08" w:rsidRDefault="00D43EBA">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What happens if you don’t meet the Service Levels</w:t>
      </w:r>
    </w:p>
    <w:p w14:paraId="348FC39E"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0A506117"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8A956EB"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23784B9E"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58F9A27F"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14:paraId="7BDBC184"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 Service Level Failure:</w:t>
      </w:r>
    </w:p>
    <w:p w14:paraId="389BEDEC" w14:textId="77777777" w:rsidR="00C03B08" w:rsidRDefault="00D43EBA">
      <w:pPr>
        <w:pStyle w:val="Standard"/>
        <w:numPr>
          <w:ilvl w:val="3"/>
          <w:numId w:val="3"/>
        </w:numPr>
        <w:spacing w:before="120" w:after="120" w:line="240" w:lineRule="auto"/>
      </w:pPr>
      <w:r>
        <w:rPr>
          <w:rFonts w:ascii="Arial" w:eastAsia="Arial" w:hAnsi="Arial" w:cs="Arial"/>
          <w:color w:val="000000"/>
          <w:sz w:val="24"/>
          <w:szCs w:val="24"/>
        </w:rPr>
        <w:t>exceeds the relevant Service Level Threshold;</w:t>
      </w:r>
    </w:p>
    <w:p w14:paraId="51035212" w14:textId="77777777" w:rsidR="00C03B08" w:rsidRDefault="00D43EBA">
      <w:pPr>
        <w:pStyle w:val="Standard"/>
        <w:numPr>
          <w:ilvl w:val="3"/>
          <w:numId w:val="3"/>
        </w:numPr>
        <w:spacing w:before="120" w:after="120" w:line="240" w:lineRule="auto"/>
      </w:pPr>
      <w:r>
        <w:rPr>
          <w:rFonts w:ascii="Arial" w:eastAsia="Arial" w:hAnsi="Arial" w:cs="Arial"/>
          <w:color w:val="000000"/>
          <w:sz w:val="24"/>
          <w:szCs w:val="24"/>
        </w:rPr>
        <w:lastRenderedPageBreak/>
        <w:t>has arisen due to a Prohibited Act or wilful Default by the Supplier;</w:t>
      </w:r>
    </w:p>
    <w:p w14:paraId="0770667E" w14:textId="77777777" w:rsidR="00C03B08" w:rsidRDefault="00D43EBA">
      <w:pPr>
        <w:pStyle w:val="Standard"/>
        <w:numPr>
          <w:ilvl w:val="3"/>
          <w:numId w:val="3"/>
        </w:numPr>
        <w:spacing w:before="120" w:after="120" w:line="240" w:lineRule="auto"/>
      </w:pPr>
      <w:r>
        <w:rPr>
          <w:rFonts w:ascii="Arial" w:eastAsia="Arial" w:hAnsi="Arial" w:cs="Arial"/>
          <w:color w:val="000000"/>
          <w:sz w:val="24"/>
          <w:szCs w:val="24"/>
        </w:rPr>
        <w:t>results in the corruption or loss of any Government Data; and/or</w:t>
      </w:r>
    </w:p>
    <w:p w14:paraId="7E189D1A" w14:textId="77777777" w:rsidR="00C03B08" w:rsidRDefault="00D43EBA">
      <w:pPr>
        <w:pStyle w:val="Standard"/>
        <w:numPr>
          <w:ilvl w:val="3"/>
          <w:numId w:val="3"/>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114FEA88"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 Buyer is otherwise entitled to or does terminate this Contract pursuant to Clause 10.4 (CCS and Buyer Termination Rights).</w:t>
      </w:r>
    </w:p>
    <w:p w14:paraId="41E50F17"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0B80BB3A"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 total number of Service Levels for which the weighting is to be changed does not exceed the number applicable as at the Start Date;</w:t>
      </w:r>
    </w:p>
    <w:p w14:paraId="649B59B0"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36CCA8ED" w14:textId="77777777" w:rsidR="00C03B08" w:rsidRDefault="00D43EBA">
      <w:pPr>
        <w:pStyle w:val="Standard"/>
        <w:numPr>
          <w:ilvl w:val="2"/>
          <w:numId w:val="3"/>
        </w:numPr>
        <w:spacing w:before="120" w:after="120" w:line="240" w:lineRule="auto"/>
      </w:pPr>
      <w:r>
        <w:rPr>
          <w:rFonts w:ascii="Arial" w:eastAsia="Arial" w:hAnsi="Arial" w:cs="Arial"/>
          <w:color w:val="000000"/>
          <w:sz w:val="24"/>
          <w:szCs w:val="24"/>
        </w:rPr>
        <w:t>there is no change to the Service Credit Cap.</w:t>
      </w:r>
    </w:p>
    <w:p w14:paraId="64796CD4" w14:textId="77777777" w:rsidR="00C03B08" w:rsidRDefault="00D43EBA">
      <w:pPr>
        <w:pStyle w:val="Standard"/>
        <w:numPr>
          <w:ilvl w:val="0"/>
          <w:numId w:val="3"/>
        </w:numPr>
        <w:tabs>
          <w:tab w:val="left" w:pos="862"/>
        </w:tabs>
        <w:spacing w:before="240" w:after="120" w:line="240" w:lineRule="auto"/>
      </w:pPr>
      <w:r>
        <w:rPr>
          <w:rFonts w:ascii="Arial Bold" w:eastAsia="Arial Bold" w:hAnsi="Arial Bold" w:cs="Arial Bold"/>
          <w:b/>
          <w:color w:val="000000"/>
          <w:sz w:val="24"/>
          <w:szCs w:val="24"/>
        </w:rPr>
        <w:t>Critical Service Level Failure</w:t>
      </w:r>
    </w:p>
    <w:p w14:paraId="2150EDF7" w14:textId="77777777" w:rsidR="00C03B08" w:rsidRDefault="00D43EBA">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14:paraId="38C5D441"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186C8BF2" w14:textId="77777777" w:rsidR="00C03B08" w:rsidRDefault="00D43EBA">
      <w:pPr>
        <w:pStyle w:val="Standard"/>
        <w:numPr>
          <w:ilvl w:val="1"/>
          <w:numId w:val="3"/>
        </w:numP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17417D96" w14:textId="77777777" w:rsidR="00C03B08" w:rsidRDefault="00D43EBA">
      <w:pPr>
        <w:pStyle w:val="Standard"/>
        <w:tabs>
          <w:tab w:val="left" w:pos="4122"/>
        </w:tabs>
        <w:spacing w:after="220" w:line="240" w:lineRule="auto"/>
        <w:ind w:left="720"/>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467B9F96" w14:textId="77777777" w:rsidR="00C03B08" w:rsidRDefault="00C03B08">
      <w:pPr>
        <w:pStyle w:val="Standard"/>
        <w:tabs>
          <w:tab w:val="left" w:pos="568"/>
        </w:tabs>
        <w:spacing w:before="240" w:after="120" w:line="240" w:lineRule="auto"/>
        <w:ind w:left="426" w:hanging="360"/>
        <w:rPr>
          <w:rFonts w:ascii="Arial" w:eastAsia="Arial" w:hAnsi="Arial" w:cs="Arial"/>
          <w:b/>
          <w:smallCaps/>
          <w:color w:val="000000"/>
          <w:sz w:val="24"/>
          <w:szCs w:val="24"/>
        </w:rPr>
      </w:pPr>
    </w:p>
    <w:p w14:paraId="0FA60AE5" w14:textId="77777777" w:rsidR="00C03B08" w:rsidRDefault="00D43EBA">
      <w:pPr>
        <w:pStyle w:val="Standard"/>
        <w:keepNext/>
        <w:spacing w:after="240" w:line="240" w:lineRule="auto"/>
      </w:pPr>
      <w:r>
        <w:rPr>
          <w:rFonts w:ascii="Arial Bold" w:eastAsia="Arial Bold" w:hAnsi="Arial Bold" w:cs="Arial Bold"/>
          <w:b/>
          <w:color w:val="000000"/>
          <w:sz w:val="36"/>
          <w:szCs w:val="36"/>
        </w:rPr>
        <w:t>Part A: Service Levels and Service Credits</w:t>
      </w:r>
    </w:p>
    <w:p w14:paraId="6FFCBF04" w14:textId="77777777" w:rsidR="00C03B08" w:rsidRDefault="00D43EBA">
      <w:pPr>
        <w:pStyle w:val="Standard"/>
        <w:numPr>
          <w:ilvl w:val="0"/>
          <w:numId w:val="9"/>
        </w:numPr>
        <w:tabs>
          <w:tab w:val="left" w:pos="862"/>
        </w:tabs>
        <w:spacing w:before="240" w:after="120" w:line="240" w:lineRule="auto"/>
      </w:pPr>
      <w:r>
        <w:rPr>
          <w:rFonts w:ascii="Arial Bold" w:eastAsia="Arial Bold" w:hAnsi="Arial Bold" w:cs="Arial Bold"/>
          <w:b/>
          <w:color w:val="000000"/>
          <w:sz w:val="24"/>
          <w:szCs w:val="24"/>
        </w:rPr>
        <w:t>Service Levels</w:t>
      </w:r>
    </w:p>
    <w:p w14:paraId="4E38F5C3" w14:textId="77777777" w:rsidR="00C03B08" w:rsidRDefault="00D43EBA">
      <w:pPr>
        <w:pStyle w:val="Standard"/>
        <w:spacing w:before="120" w:after="120" w:line="240" w:lineRule="auto"/>
        <w:ind w:left="720" w:hanging="576"/>
      </w:pPr>
      <w:r>
        <w:rPr>
          <w:rFonts w:ascii="Arial" w:eastAsia="Arial" w:hAnsi="Arial" w:cs="Arial"/>
          <w:color w:val="000000"/>
          <w:sz w:val="24"/>
          <w:szCs w:val="24"/>
        </w:rPr>
        <w:t>If the level of performance of the Supplier:</w:t>
      </w:r>
    </w:p>
    <w:p w14:paraId="7A3916AC"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is likely to or fails to meet any Service Level Performance Measure; or</w:t>
      </w:r>
    </w:p>
    <w:p w14:paraId="7B27C6B5"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is likely to cause or causes a Critical Service Failure to occur,</w:t>
      </w:r>
    </w:p>
    <w:p w14:paraId="3FFF0245" w14:textId="77777777" w:rsidR="00C03B08" w:rsidRDefault="00D43EBA">
      <w:pPr>
        <w:pStyle w:val="Standard"/>
        <w:spacing w:before="120" w:after="120" w:line="240" w:lineRule="auto"/>
        <w:ind w:left="720" w:hanging="576"/>
      </w:pPr>
      <w:r>
        <w:rPr>
          <w:rFonts w:ascii="Arial" w:eastAsia="Arial" w:hAnsi="Arial" w:cs="Arial"/>
          <w:color w:val="000000"/>
          <w:sz w:val="24"/>
          <w:szCs w:val="24"/>
        </w:rPr>
        <w:lastRenderedPageBreak/>
        <w:t>the Supplier shall immediately notify the Buyer in writing and the Buyer, in its absolute discretion and without limiting any other of its rights, may:</w:t>
      </w:r>
    </w:p>
    <w:p w14:paraId="3506D5ED" w14:textId="77777777" w:rsidR="00C03B08" w:rsidRDefault="00D43EBA">
      <w:pPr>
        <w:pStyle w:val="Standard"/>
        <w:numPr>
          <w:ilvl w:val="2"/>
          <w:numId w:val="2"/>
        </w:numPr>
        <w:spacing w:before="120" w:after="120" w:line="240" w:lineRule="auto"/>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14:paraId="6249BC2A" w14:textId="77777777" w:rsidR="00C03B08" w:rsidRDefault="00D43EBA">
      <w:pPr>
        <w:pStyle w:val="Standard"/>
        <w:numPr>
          <w:ilvl w:val="2"/>
          <w:numId w:val="2"/>
        </w:numPr>
        <w:spacing w:before="120" w:after="120" w:line="240" w:lineRule="auto"/>
      </w:pPr>
      <w:r>
        <w:rPr>
          <w:rFonts w:ascii="Arial" w:eastAsia="Arial" w:hAnsi="Arial" w:cs="Arial"/>
          <w:color w:val="000000"/>
          <w:sz w:val="24"/>
          <w:szCs w:val="24"/>
        </w:rPr>
        <w:t>instruct the Supplier to comply with the Rectification Plan Process;</w:t>
      </w:r>
    </w:p>
    <w:p w14:paraId="41C473A5" w14:textId="77777777" w:rsidR="00C03B08" w:rsidRDefault="00D43EBA">
      <w:pPr>
        <w:pStyle w:val="Standard"/>
        <w:numPr>
          <w:ilvl w:val="2"/>
          <w:numId w:val="2"/>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2895595C" w14:textId="77777777" w:rsidR="00C03B08" w:rsidRDefault="00D43EBA">
      <w:pPr>
        <w:pStyle w:val="Standard"/>
        <w:numPr>
          <w:ilvl w:val="2"/>
          <w:numId w:val="2"/>
        </w:numP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0491DECA" w14:textId="77777777" w:rsidR="00C03B08" w:rsidRDefault="00D43EBA">
      <w:pPr>
        <w:pStyle w:val="Standard"/>
        <w:numPr>
          <w:ilvl w:val="0"/>
          <w:numId w:val="6"/>
        </w:numPr>
        <w:tabs>
          <w:tab w:val="left" w:pos="862"/>
        </w:tabs>
        <w:spacing w:before="240" w:after="120" w:line="240" w:lineRule="auto"/>
      </w:pPr>
      <w:r>
        <w:rPr>
          <w:rFonts w:ascii="Arial Bold" w:eastAsia="Arial Bold" w:hAnsi="Arial Bold" w:cs="Arial Bold"/>
          <w:b/>
          <w:color w:val="000000"/>
          <w:sz w:val="24"/>
          <w:szCs w:val="24"/>
        </w:rPr>
        <w:t>Service Credits</w:t>
      </w:r>
    </w:p>
    <w:p w14:paraId="6B1C9FFB"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44324DA7"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58D9E80B" w14:textId="77777777" w:rsidR="00F52F1D" w:rsidRPr="00014F9F" w:rsidRDefault="00F52F1D" w:rsidP="00F52F1D">
      <w:pPr>
        <w:pStyle w:val="ListParagraph"/>
        <w:numPr>
          <w:ilvl w:val="0"/>
          <w:numId w:val="6"/>
        </w:numPr>
        <w:tabs>
          <w:tab w:val="left" w:pos="1392"/>
        </w:tabs>
        <w:rPr>
          <w:rFonts w:ascii="Arial" w:eastAsia="STZhongsong" w:hAnsi="Arial" w:cs="Arial"/>
          <w:b/>
          <w:bCs/>
          <w:sz w:val="24"/>
        </w:rPr>
      </w:pPr>
      <w:r w:rsidRPr="00014F9F">
        <w:rPr>
          <w:rFonts w:ascii="Arial" w:eastAsia="STZhongsong" w:hAnsi="Arial" w:cs="Arial"/>
          <w:b/>
          <w:bCs/>
          <w:sz w:val="24"/>
        </w:rPr>
        <w:t>ANNEX A - SERVICE LEVELS</w:t>
      </w:r>
      <w:r w:rsidRPr="00014F9F">
        <w:rPr>
          <w:rFonts w:ascii="Arial" w:eastAsia="STZhongsong" w:hAnsi="Arial" w:cs="Arial"/>
          <w:b/>
        </w:rPr>
        <w:t xml:space="preserve"> </w:t>
      </w:r>
      <w:r w:rsidRPr="00014F9F">
        <w:rPr>
          <w:rFonts w:ascii="Arial" w:eastAsia="STZhongsong" w:hAnsi="Arial" w:cs="Arial"/>
          <w:b/>
          <w:bCs/>
          <w:sz w:val="24"/>
        </w:rPr>
        <w:t>FOR EYE CARE SERVICES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9"/>
        <w:gridCol w:w="1241"/>
        <w:gridCol w:w="1417"/>
        <w:gridCol w:w="1134"/>
        <w:gridCol w:w="1276"/>
        <w:gridCol w:w="1134"/>
      </w:tblGrid>
      <w:tr w:rsidR="00F52F1D" w:rsidRPr="00C91257" w14:paraId="50A07E34" w14:textId="77777777" w:rsidTr="00AC78BF">
        <w:trPr>
          <w:trHeight w:val="1213"/>
          <w:tblHeader/>
        </w:trPr>
        <w:tc>
          <w:tcPr>
            <w:tcW w:w="1838" w:type="dxa"/>
            <w:shd w:val="clear" w:color="auto" w:fill="D9D9D9"/>
            <w:vAlign w:val="center"/>
          </w:tcPr>
          <w:p w14:paraId="3AA7C8CF" w14:textId="77777777" w:rsidR="00F52F1D" w:rsidRPr="007E2FF4" w:rsidRDefault="00F52F1D" w:rsidP="00AC78BF">
            <w:pPr>
              <w:overflowPunct w:val="0"/>
              <w:autoSpaceDE w:val="0"/>
              <w:adjustRightInd w:val="0"/>
              <w:spacing w:after="240"/>
              <w:ind w:left="61"/>
              <w:jc w:val="both"/>
              <w:rPr>
                <w:rFonts w:ascii="Arial" w:eastAsia="Times New Roman" w:hAnsi="Arial" w:cs="Arial"/>
                <w:sz w:val="24"/>
                <w:szCs w:val="24"/>
                <w:lang w:eastAsia="en-US"/>
              </w:rPr>
            </w:pPr>
          </w:p>
        </w:tc>
        <w:tc>
          <w:tcPr>
            <w:tcW w:w="1849" w:type="dxa"/>
            <w:shd w:val="clear" w:color="auto" w:fill="D9D9D9"/>
            <w:vAlign w:val="center"/>
          </w:tcPr>
          <w:p w14:paraId="51CF8CBB"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p>
        </w:tc>
        <w:tc>
          <w:tcPr>
            <w:tcW w:w="5068" w:type="dxa"/>
            <w:gridSpan w:val="4"/>
            <w:shd w:val="clear" w:color="auto" w:fill="D9D9D9"/>
            <w:vAlign w:val="center"/>
          </w:tcPr>
          <w:p w14:paraId="2256D27A"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Service Level Performance Measure</w:t>
            </w:r>
          </w:p>
        </w:tc>
        <w:tc>
          <w:tcPr>
            <w:tcW w:w="1134" w:type="dxa"/>
            <w:shd w:val="clear" w:color="auto" w:fill="D9D9D9"/>
            <w:vAlign w:val="center"/>
          </w:tcPr>
          <w:p w14:paraId="77D5656A"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p>
        </w:tc>
      </w:tr>
      <w:tr w:rsidR="00F52F1D" w:rsidRPr="00C91257" w14:paraId="1773AAE2" w14:textId="77777777" w:rsidTr="00AC78BF">
        <w:trPr>
          <w:trHeight w:val="1213"/>
          <w:tblHeader/>
        </w:trPr>
        <w:tc>
          <w:tcPr>
            <w:tcW w:w="1838" w:type="dxa"/>
            <w:shd w:val="clear" w:color="auto" w:fill="D9D9D9"/>
            <w:vAlign w:val="center"/>
          </w:tcPr>
          <w:p w14:paraId="381683E8" w14:textId="77777777" w:rsidR="00F52F1D" w:rsidRPr="007E2FF4" w:rsidRDefault="00F52F1D" w:rsidP="00AC78BF">
            <w:pPr>
              <w:overflowPunct w:val="0"/>
              <w:autoSpaceDE w:val="0"/>
              <w:adjustRightInd w:val="0"/>
              <w:spacing w:after="240"/>
              <w:ind w:left="61"/>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Service Level Performance Criterion</w:t>
            </w:r>
          </w:p>
        </w:tc>
        <w:tc>
          <w:tcPr>
            <w:tcW w:w="1849" w:type="dxa"/>
            <w:shd w:val="clear" w:color="auto" w:fill="D9D9D9"/>
            <w:vAlign w:val="center"/>
          </w:tcPr>
          <w:p w14:paraId="52CF2E27"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Description</w:t>
            </w:r>
          </w:p>
        </w:tc>
        <w:tc>
          <w:tcPr>
            <w:tcW w:w="1241" w:type="dxa"/>
            <w:shd w:val="clear" w:color="auto" w:fill="D9D9D9"/>
            <w:vAlign w:val="center"/>
          </w:tcPr>
          <w:p w14:paraId="712A63F5" w14:textId="77777777" w:rsidR="00F52F1D" w:rsidRPr="007E2FF4" w:rsidRDefault="00F52F1D" w:rsidP="00AC78BF">
            <w:pPr>
              <w:overflowPunct w:val="0"/>
              <w:autoSpaceDE w:val="0"/>
              <w:adjustRightInd w:val="0"/>
              <w:spacing w:after="24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Service Level– Fail</w:t>
            </w:r>
          </w:p>
          <w:p w14:paraId="0249AD63" w14:textId="77777777" w:rsidR="00F52F1D" w:rsidRPr="007E2FF4" w:rsidRDefault="00F52F1D" w:rsidP="00AC78BF">
            <w:pPr>
              <w:overflowPunct w:val="0"/>
              <w:autoSpaceDE w:val="0"/>
              <w:adjustRightInd w:val="0"/>
              <w:spacing w:after="24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RED</w:t>
            </w:r>
          </w:p>
        </w:tc>
        <w:tc>
          <w:tcPr>
            <w:tcW w:w="1417" w:type="dxa"/>
            <w:shd w:val="clear" w:color="auto" w:fill="D9D9D9"/>
          </w:tcPr>
          <w:p w14:paraId="5F8D5A59"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 xml:space="preserve">Service Level – Warning </w:t>
            </w:r>
          </w:p>
          <w:p w14:paraId="4CCFE8B1"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AMBER</w:t>
            </w:r>
          </w:p>
        </w:tc>
        <w:tc>
          <w:tcPr>
            <w:tcW w:w="1134" w:type="dxa"/>
            <w:shd w:val="clear" w:color="auto" w:fill="D9D9D9"/>
          </w:tcPr>
          <w:p w14:paraId="5F1EAF68"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Service Level – Pass</w:t>
            </w:r>
          </w:p>
          <w:p w14:paraId="373C1235"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GREEN</w:t>
            </w:r>
          </w:p>
        </w:tc>
        <w:tc>
          <w:tcPr>
            <w:tcW w:w="1276" w:type="dxa"/>
            <w:shd w:val="clear" w:color="auto" w:fill="D9D9D9"/>
          </w:tcPr>
          <w:p w14:paraId="16934489"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Service Credit Payable (%)</w:t>
            </w:r>
          </w:p>
        </w:tc>
        <w:tc>
          <w:tcPr>
            <w:tcW w:w="1134" w:type="dxa"/>
            <w:shd w:val="clear" w:color="auto" w:fill="D9D9D9"/>
            <w:vAlign w:val="center"/>
          </w:tcPr>
          <w:p w14:paraId="2AB907F9" w14:textId="77777777" w:rsidR="00F52F1D" w:rsidRPr="007E2FF4" w:rsidRDefault="00F52F1D" w:rsidP="00AC78BF">
            <w:pPr>
              <w:overflowPunct w:val="0"/>
              <w:autoSpaceDE w:val="0"/>
              <w:adjustRightInd w:val="0"/>
              <w:spacing w:after="240"/>
              <w:ind w:left="95"/>
              <w:jc w:val="both"/>
              <w:rPr>
                <w:rFonts w:ascii="Arial" w:eastAsia="Times New Roman" w:hAnsi="Arial" w:cs="Arial"/>
                <w:sz w:val="24"/>
                <w:szCs w:val="24"/>
                <w:lang w:eastAsia="en-US"/>
              </w:rPr>
            </w:pPr>
          </w:p>
        </w:tc>
      </w:tr>
      <w:tr w:rsidR="00F52F1D" w:rsidRPr="00C91257" w14:paraId="006E7729" w14:textId="77777777" w:rsidTr="00AC78BF">
        <w:trPr>
          <w:trHeight w:val="461"/>
        </w:trPr>
        <w:tc>
          <w:tcPr>
            <w:tcW w:w="1838" w:type="dxa"/>
          </w:tcPr>
          <w:p w14:paraId="4B6F6842" w14:textId="77777777" w:rsidR="00F52F1D" w:rsidRPr="007E2FF4" w:rsidRDefault="00F52F1D" w:rsidP="00AC78BF">
            <w:pPr>
              <w:overflowPunct w:val="0"/>
              <w:autoSpaceDE w:val="0"/>
              <w:adjustRightInd w:val="0"/>
              <w:spacing w:after="120"/>
              <w:ind w:left="61"/>
              <w:jc w:val="both"/>
              <w:rPr>
                <w:rFonts w:ascii="Arial" w:eastAsia="Times New Roman" w:hAnsi="Arial" w:cs="Arial"/>
                <w:sz w:val="24"/>
                <w:szCs w:val="24"/>
                <w:lang w:eastAsia="en-US"/>
              </w:rPr>
            </w:pPr>
            <w:r w:rsidRPr="007E2FF4">
              <w:rPr>
                <w:rFonts w:ascii="Arial" w:eastAsia="Times New Roman" w:hAnsi="Arial" w:cs="Arial"/>
                <w:b/>
                <w:sz w:val="24"/>
                <w:szCs w:val="24"/>
                <w:lang w:eastAsia="en-US"/>
              </w:rPr>
              <w:t xml:space="preserve">Online Portal </w:t>
            </w:r>
          </w:p>
          <w:p w14:paraId="0BFF82BF" w14:textId="77777777" w:rsidR="00F52F1D" w:rsidRPr="007E2FF4" w:rsidRDefault="00F52F1D" w:rsidP="00AC78BF">
            <w:pPr>
              <w:overflowPunct w:val="0"/>
              <w:autoSpaceDE w:val="0"/>
              <w:adjustRightInd w:val="0"/>
              <w:spacing w:after="120"/>
              <w:ind w:left="61"/>
              <w:jc w:val="both"/>
              <w:rPr>
                <w:rFonts w:ascii="Arial" w:eastAsia="Times New Roman" w:hAnsi="Arial" w:cs="Arial"/>
                <w:sz w:val="24"/>
                <w:szCs w:val="24"/>
                <w:lang w:eastAsia="en-US"/>
              </w:rPr>
            </w:pPr>
          </w:p>
        </w:tc>
        <w:tc>
          <w:tcPr>
            <w:tcW w:w="1849" w:type="dxa"/>
          </w:tcPr>
          <w:p w14:paraId="644799E6"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Web Portal to be available Monday to Friday 08:00 – 18:00</w:t>
            </w:r>
          </w:p>
        </w:tc>
        <w:tc>
          <w:tcPr>
            <w:tcW w:w="1241" w:type="dxa"/>
          </w:tcPr>
          <w:p w14:paraId="29E7F575" w14:textId="77777777" w:rsidR="00F52F1D" w:rsidRPr="007E2FF4" w:rsidRDefault="00F52F1D" w:rsidP="00AC78BF">
            <w:pPr>
              <w:overflowPunct w:val="0"/>
              <w:autoSpaceDE w:val="0"/>
              <w:adjustRightInd w:val="0"/>
              <w:spacing w:after="12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&lt;98%</w:t>
            </w:r>
          </w:p>
          <w:p w14:paraId="42C0485E" w14:textId="77777777" w:rsidR="00F52F1D" w:rsidRPr="007E2FF4" w:rsidRDefault="00F52F1D" w:rsidP="00AC78BF">
            <w:pPr>
              <w:overflowPunct w:val="0"/>
              <w:autoSpaceDE w:val="0"/>
              <w:adjustRightInd w:val="0"/>
              <w:spacing w:after="120"/>
              <w:ind w:left="1418"/>
              <w:jc w:val="both"/>
              <w:rPr>
                <w:rFonts w:ascii="Arial" w:eastAsia="Times New Roman" w:hAnsi="Arial" w:cs="Arial"/>
                <w:sz w:val="24"/>
                <w:szCs w:val="24"/>
                <w:lang w:eastAsia="en-US"/>
              </w:rPr>
            </w:pPr>
          </w:p>
        </w:tc>
        <w:tc>
          <w:tcPr>
            <w:tcW w:w="1417" w:type="dxa"/>
          </w:tcPr>
          <w:p w14:paraId="65A52732"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98% and &lt; 100%</w:t>
            </w:r>
          </w:p>
        </w:tc>
        <w:tc>
          <w:tcPr>
            <w:tcW w:w="1134" w:type="dxa"/>
          </w:tcPr>
          <w:p w14:paraId="0BDD9C55"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100%</w:t>
            </w:r>
          </w:p>
        </w:tc>
        <w:tc>
          <w:tcPr>
            <w:tcW w:w="1276" w:type="dxa"/>
          </w:tcPr>
          <w:p w14:paraId="4FC32353"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1%</w:t>
            </w:r>
          </w:p>
        </w:tc>
        <w:tc>
          <w:tcPr>
            <w:tcW w:w="1134" w:type="dxa"/>
          </w:tcPr>
          <w:p w14:paraId="0C2EF4B5"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Critical Service Level</w:t>
            </w:r>
          </w:p>
        </w:tc>
      </w:tr>
      <w:tr w:rsidR="00F52F1D" w:rsidRPr="00C91257" w14:paraId="432B9672" w14:textId="77777777" w:rsidTr="00AC78BF">
        <w:trPr>
          <w:trHeight w:val="1001"/>
        </w:trPr>
        <w:tc>
          <w:tcPr>
            <w:tcW w:w="1838" w:type="dxa"/>
          </w:tcPr>
          <w:p w14:paraId="28DE043D" w14:textId="77777777" w:rsidR="00F52F1D" w:rsidRPr="007E2FF4" w:rsidRDefault="00F52F1D" w:rsidP="00AC78BF">
            <w:pPr>
              <w:overflowPunct w:val="0"/>
              <w:autoSpaceDE w:val="0"/>
              <w:adjustRightInd w:val="0"/>
              <w:spacing w:after="120"/>
              <w:ind w:left="61"/>
              <w:jc w:val="both"/>
              <w:rPr>
                <w:rFonts w:ascii="Arial" w:eastAsia="Times New Roman" w:hAnsi="Arial" w:cs="Arial"/>
                <w:b/>
                <w:sz w:val="24"/>
                <w:szCs w:val="24"/>
                <w:lang w:eastAsia="en-US"/>
              </w:rPr>
            </w:pPr>
          </w:p>
        </w:tc>
        <w:tc>
          <w:tcPr>
            <w:tcW w:w="1849" w:type="dxa"/>
          </w:tcPr>
          <w:p w14:paraId="68554F4E"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 xml:space="preserve">Issue of eye care voucher within one (1) working day </w:t>
            </w:r>
            <w:r w:rsidRPr="007E2FF4">
              <w:rPr>
                <w:rFonts w:ascii="Arial" w:eastAsia="Times New Roman" w:hAnsi="Arial" w:cs="Arial"/>
                <w:sz w:val="24"/>
                <w:szCs w:val="24"/>
                <w:lang w:eastAsia="en-US"/>
              </w:rPr>
              <w:lastRenderedPageBreak/>
              <w:t>of receipt of request</w:t>
            </w:r>
          </w:p>
        </w:tc>
        <w:tc>
          <w:tcPr>
            <w:tcW w:w="1241" w:type="dxa"/>
          </w:tcPr>
          <w:p w14:paraId="2BD0630E" w14:textId="77777777" w:rsidR="00F52F1D" w:rsidRPr="007E2FF4" w:rsidRDefault="00F52F1D" w:rsidP="00AC78BF">
            <w:pPr>
              <w:overflowPunct w:val="0"/>
              <w:autoSpaceDE w:val="0"/>
              <w:adjustRightInd w:val="0"/>
              <w:spacing w:after="12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lastRenderedPageBreak/>
              <w:t>&lt;97%</w:t>
            </w:r>
          </w:p>
        </w:tc>
        <w:tc>
          <w:tcPr>
            <w:tcW w:w="1417" w:type="dxa"/>
          </w:tcPr>
          <w:p w14:paraId="7474C7AE"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97% and &lt; 99%</w:t>
            </w:r>
          </w:p>
        </w:tc>
        <w:tc>
          <w:tcPr>
            <w:tcW w:w="1134" w:type="dxa"/>
          </w:tcPr>
          <w:p w14:paraId="3F1D55DF"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99%</w:t>
            </w:r>
          </w:p>
        </w:tc>
        <w:tc>
          <w:tcPr>
            <w:tcW w:w="1276" w:type="dxa"/>
          </w:tcPr>
          <w:p w14:paraId="637428FF"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5%</w:t>
            </w:r>
          </w:p>
        </w:tc>
        <w:tc>
          <w:tcPr>
            <w:tcW w:w="1134" w:type="dxa"/>
          </w:tcPr>
          <w:p w14:paraId="7A55A86F"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Critical Service Level</w:t>
            </w:r>
          </w:p>
        </w:tc>
      </w:tr>
      <w:tr w:rsidR="00F52F1D" w:rsidRPr="00C91257" w14:paraId="00ED8C40" w14:textId="77777777" w:rsidTr="00AC78BF">
        <w:trPr>
          <w:trHeight w:val="1001"/>
        </w:trPr>
        <w:tc>
          <w:tcPr>
            <w:tcW w:w="1838" w:type="dxa"/>
          </w:tcPr>
          <w:p w14:paraId="7A377172" w14:textId="77777777" w:rsidR="00F52F1D" w:rsidRPr="007E2FF4" w:rsidRDefault="00F52F1D" w:rsidP="00AC78BF">
            <w:pPr>
              <w:overflowPunct w:val="0"/>
              <w:autoSpaceDE w:val="0"/>
              <w:adjustRightInd w:val="0"/>
              <w:spacing w:after="120"/>
              <w:ind w:left="61"/>
              <w:jc w:val="both"/>
              <w:rPr>
                <w:rFonts w:ascii="Arial" w:eastAsia="Times New Roman" w:hAnsi="Arial" w:cs="Arial"/>
                <w:b/>
                <w:sz w:val="24"/>
                <w:szCs w:val="24"/>
                <w:lang w:eastAsia="en-US"/>
              </w:rPr>
            </w:pPr>
            <w:r w:rsidRPr="007E2FF4">
              <w:rPr>
                <w:rFonts w:ascii="Arial" w:eastAsia="Times New Roman" w:hAnsi="Arial" w:cs="Arial"/>
                <w:b/>
                <w:sz w:val="24"/>
                <w:szCs w:val="24"/>
                <w:lang w:eastAsia="en-US"/>
              </w:rPr>
              <w:t>DSE Eyesight tests</w:t>
            </w:r>
          </w:p>
        </w:tc>
        <w:tc>
          <w:tcPr>
            <w:tcW w:w="1849" w:type="dxa"/>
          </w:tcPr>
          <w:p w14:paraId="3C08210B"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DSE eyesight tests to be offered at least bi-annually and booked within ten (10) working days of request for appointment</w:t>
            </w:r>
          </w:p>
        </w:tc>
        <w:tc>
          <w:tcPr>
            <w:tcW w:w="1241" w:type="dxa"/>
          </w:tcPr>
          <w:p w14:paraId="1EE87BF0" w14:textId="77777777" w:rsidR="00F52F1D" w:rsidRPr="007E2FF4" w:rsidRDefault="00F52F1D" w:rsidP="00AC78BF">
            <w:pPr>
              <w:overflowPunct w:val="0"/>
              <w:autoSpaceDE w:val="0"/>
              <w:adjustRightInd w:val="0"/>
              <w:spacing w:after="12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&lt;100%</w:t>
            </w:r>
          </w:p>
        </w:tc>
        <w:tc>
          <w:tcPr>
            <w:tcW w:w="1417" w:type="dxa"/>
          </w:tcPr>
          <w:p w14:paraId="57E770F7"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p>
        </w:tc>
        <w:tc>
          <w:tcPr>
            <w:tcW w:w="1134" w:type="dxa"/>
          </w:tcPr>
          <w:p w14:paraId="64E59835"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100%</w:t>
            </w:r>
          </w:p>
        </w:tc>
        <w:tc>
          <w:tcPr>
            <w:tcW w:w="1276" w:type="dxa"/>
          </w:tcPr>
          <w:p w14:paraId="570D1958"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2%</w:t>
            </w:r>
          </w:p>
        </w:tc>
        <w:tc>
          <w:tcPr>
            <w:tcW w:w="1134" w:type="dxa"/>
          </w:tcPr>
          <w:p w14:paraId="2C923AFB"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Critical Service Level</w:t>
            </w:r>
          </w:p>
        </w:tc>
      </w:tr>
      <w:tr w:rsidR="00F52F1D" w:rsidRPr="00C91257" w14:paraId="505D2454" w14:textId="77777777" w:rsidTr="00AC78BF">
        <w:trPr>
          <w:trHeight w:val="1474"/>
        </w:trPr>
        <w:tc>
          <w:tcPr>
            <w:tcW w:w="1838" w:type="dxa"/>
          </w:tcPr>
          <w:p w14:paraId="342A174B" w14:textId="77777777" w:rsidR="00F52F1D" w:rsidRPr="007E2FF4" w:rsidRDefault="00F52F1D" w:rsidP="00AC78BF">
            <w:pPr>
              <w:overflowPunct w:val="0"/>
              <w:autoSpaceDE w:val="0"/>
              <w:adjustRightInd w:val="0"/>
              <w:spacing w:after="120"/>
              <w:ind w:left="61"/>
              <w:jc w:val="both"/>
              <w:rPr>
                <w:rFonts w:ascii="Arial" w:eastAsia="Times New Roman" w:hAnsi="Arial" w:cs="Arial"/>
                <w:b/>
                <w:sz w:val="24"/>
                <w:szCs w:val="24"/>
                <w:lang w:eastAsia="en-US"/>
              </w:rPr>
            </w:pPr>
            <w:r w:rsidRPr="007E2FF4">
              <w:rPr>
                <w:rFonts w:ascii="Arial" w:eastAsia="Times New Roman" w:hAnsi="Arial" w:cs="Arial"/>
                <w:b/>
                <w:sz w:val="24"/>
                <w:szCs w:val="24"/>
                <w:lang w:eastAsia="en-US"/>
              </w:rPr>
              <w:t>Fitting of prescription DSE spectacles</w:t>
            </w:r>
          </w:p>
        </w:tc>
        <w:tc>
          <w:tcPr>
            <w:tcW w:w="1849" w:type="dxa"/>
          </w:tcPr>
          <w:p w14:paraId="4DCC59E2" w14:textId="77777777" w:rsidR="00F52F1D" w:rsidRPr="007E2FF4" w:rsidRDefault="00F52F1D" w:rsidP="00AC78BF">
            <w:pPr>
              <w:overflowPunct w:val="0"/>
              <w:autoSpaceDE w:val="0"/>
              <w:adjustRightInd w:val="0"/>
              <w:spacing w:after="120"/>
              <w:ind w:left="61"/>
              <w:rPr>
                <w:rFonts w:ascii="Arial" w:eastAsia="Times New Roman" w:hAnsi="Arial" w:cs="Arial"/>
                <w:sz w:val="24"/>
                <w:szCs w:val="24"/>
                <w:lang w:eastAsia="en-US"/>
              </w:rPr>
            </w:pPr>
            <w:r w:rsidRPr="007E2FF4">
              <w:rPr>
                <w:rFonts w:ascii="Arial" w:eastAsia="Times New Roman" w:hAnsi="Arial" w:cs="Arial"/>
                <w:sz w:val="24"/>
                <w:szCs w:val="24"/>
                <w:lang w:eastAsia="en-US"/>
              </w:rPr>
              <w:t>Supply and fit lenses into DSE spectacles, including prescription reaction sunglasses, after order placed within seven (7) working days</w:t>
            </w:r>
          </w:p>
        </w:tc>
        <w:tc>
          <w:tcPr>
            <w:tcW w:w="1241" w:type="dxa"/>
          </w:tcPr>
          <w:p w14:paraId="33A11CF0" w14:textId="77777777" w:rsidR="00F52F1D" w:rsidRPr="007E2FF4" w:rsidRDefault="00F52F1D" w:rsidP="00AC78BF">
            <w:pPr>
              <w:overflowPunct w:val="0"/>
              <w:autoSpaceDE w:val="0"/>
              <w:adjustRightInd w:val="0"/>
              <w:spacing w:after="12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&lt;97%</w:t>
            </w:r>
          </w:p>
        </w:tc>
        <w:tc>
          <w:tcPr>
            <w:tcW w:w="1417" w:type="dxa"/>
          </w:tcPr>
          <w:p w14:paraId="46DFFFA6"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97% and &lt; 99%</w:t>
            </w:r>
          </w:p>
        </w:tc>
        <w:tc>
          <w:tcPr>
            <w:tcW w:w="1134" w:type="dxa"/>
          </w:tcPr>
          <w:p w14:paraId="1A5F62B1"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99%</w:t>
            </w:r>
          </w:p>
        </w:tc>
        <w:tc>
          <w:tcPr>
            <w:tcW w:w="1276" w:type="dxa"/>
          </w:tcPr>
          <w:p w14:paraId="5859DC8B" w14:textId="77777777" w:rsidR="00F52F1D" w:rsidRPr="007E2FF4" w:rsidRDefault="00F52F1D" w:rsidP="00AC78BF">
            <w:pPr>
              <w:overflowPunct w:val="0"/>
              <w:autoSpaceDE w:val="0"/>
              <w:adjustRightInd w:val="0"/>
              <w:spacing w:after="120"/>
              <w:ind w:left="95"/>
              <w:jc w:val="both"/>
              <w:rPr>
                <w:rFonts w:ascii="Arial" w:eastAsia="Times New Roman" w:hAnsi="Arial" w:cs="Arial"/>
                <w:color w:val="FF0000"/>
                <w:sz w:val="24"/>
                <w:szCs w:val="24"/>
                <w:lang w:eastAsia="en-US"/>
              </w:rPr>
            </w:pPr>
            <w:r w:rsidRPr="007E2FF4">
              <w:rPr>
                <w:rFonts w:ascii="Arial" w:eastAsia="Times New Roman" w:hAnsi="Arial" w:cs="Arial"/>
                <w:sz w:val="24"/>
                <w:szCs w:val="24"/>
                <w:lang w:eastAsia="en-US"/>
              </w:rPr>
              <w:t>2%</w:t>
            </w:r>
          </w:p>
        </w:tc>
        <w:tc>
          <w:tcPr>
            <w:tcW w:w="1134" w:type="dxa"/>
          </w:tcPr>
          <w:p w14:paraId="0A6E9BD6"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Critical Service Level</w:t>
            </w:r>
          </w:p>
        </w:tc>
      </w:tr>
      <w:tr w:rsidR="00F52F1D" w:rsidRPr="00C91257" w14:paraId="15F97124" w14:textId="77777777" w:rsidTr="00AC78BF">
        <w:trPr>
          <w:trHeight w:val="1474"/>
        </w:trPr>
        <w:tc>
          <w:tcPr>
            <w:tcW w:w="1838" w:type="dxa"/>
          </w:tcPr>
          <w:p w14:paraId="20477E36" w14:textId="77777777" w:rsidR="00F52F1D" w:rsidRPr="007E2FF4" w:rsidRDefault="00F52F1D" w:rsidP="00AC78BF">
            <w:pPr>
              <w:overflowPunct w:val="0"/>
              <w:autoSpaceDE w:val="0"/>
              <w:adjustRightInd w:val="0"/>
              <w:spacing w:after="120"/>
              <w:ind w:left="61"/>
              <w:rPr>
                <w:rFonts w:ascii="Arial" w:eastAsia="Times New Roman" w:hAnsi="Arial" w:cs="Arial"/>
                <w:b/>
                <w:sz w:val="24"/>
                <w:szCs w:val="24"/>
                <w:lang w:eastAsia="en-US"/>
              </w:rPr>
            </w:pPr>
            <w:r w:rsidRPr="007E2FF4">
              <w:rPr>
                <w:rFonts w:ascii="Arial" w:eastAsia="Times New Roman" w:hAnsi="Arial" w:cs="Arial"/>
                <w:b/>
                <w:sz w:val="24"/>
                <w:szCs w:val="24"/>
                <w:lang w:eastAsia="en-US"/>
              </w:rPr>
              <w:t>After Sales Service</w:t>
            </w:r>
          </w:p>
        </w:tc>
        <w:tc>
          <w:tcPr>
            <w:tcW w:w="1849" w:type="dxa"/>
          </w:tcPr>
          <w:p w14:paraId="71C1B355"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After Sales Services to be delivered within five (5) working days following appointment</w:t>
            </w:r>
          </w:p>
        </w:tc>
        <w:tc>
          <w:tcPr>
            <w:tcW w:w="1241" w:type="dxa"/>
          </w:tcPr>
          <w:p w14:paraId="2F09BC4A" w14:textId="77777777" w:rsidR="00F52F1D" w:rsidRPr="007E2FF4" w:rsidRDefault="00F52F1D" w:rsidP="00AC78BF">
            <w:pPr>
              <w:overflowPunct w:val="0"/>
              <w:autoSpaceDE w:val="0"/>
              <w:adjustRightInd w:val="0"/>
              <w:spacing w:after="120"/>
              <w:jc w:val="both"/>
              <w:rPr>
                <w:rFonts w:ascii="Arial" w:eastAsia="Times New Roman" w:hAnsi="Arial" w:cs="Arial"/>
                <w:sz w:val="24"/>
                <w:szCs w:val="24"/>
                <w:lang w:eastAsia="en-US"/>
              </w:rPr>
            </w:pPr>
            <w:r w:rsidRPr="007E2FF4">
              <w:rPr>
                <w:rFonts w:ascii="Arial" w:eastAsia="Times New Roman" w:hAnsi="Arial" w:cs="Arial"/>
                <w:sz w:val="24"/>
                <w:szCs w:val="24"/>
                <w:lang w:eastAsia="en-US"/>
              </w:rPr>
              <w:t>&lt;97%</w:t>
            </w:r>
          </w:p>
          <w:p w14:paraId="238938D4" w14:textId="77777777" w:rsidR="00F52F1D" w:rsidRPr="007E2FF4" w:rsidRDefault="00F52F1D" w:rsidP="00AC78BF">
            <w:pPr>
              <w:overflowPunct w:val="0"/>
              <w:autoSpaceDE w:val="0"/>
              <w:adjustRightInd w:val="0"/>
              <w:spacing w:after="120"/>
              <w:ind w:left="1418"/>
              <w:jc w:val="both"/>
              <w:rPr>
                <w:rFonts w:ascii="Arial" w:eastAsia="Times New Roman" w:hAnsi="Arial" w:cs="Arial"/>
                <w:sz w:val="24"/>
                <w:szCs w:val="24"/>
                <w:lang w:eastAsia="en-US"/>
              </w:rPr>
            </w:pPr>
          </w:p>
        </w:tc>
        <w:tc>
          <w:tcPr>
            <w:tcW w:w="1417" w:type="dxa"/>
          </w:tcPr>
          <w:p w14:paraId="6255DD9A"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97% and &lt; 99%</w:t>
            </w:r>
          </w:p>
        </w:tc>
        <w:tc>
          <w:tcPr>
            <w:tcW w:w="1134" w:type="dxa"/>
          </w:tcPr>
          <w:p w14:paraId="13234CD1" w14:textId="77777777" w:rsidR="00F52F1D" w:rsidRPr="007E2FF4" w:rsidRDefault="00F52F1D" w:rsidP="00AC78BF">
            <w:pPr>
              <w:overflowPunct w:val="0"/>
              <w:autoSpaceDE w:val="0"/>
              <w:adjustRightInd w:val="0"/>
              <w:spacing w:after="120"/>
              <w:ind w:left="95"/>
              <w:rPr>
                <w:rFonts w:ascii="Arial" w:eastAsia="Times New Roman" w:hAnsi="Arial" w:cs="Arial"/>
                <w:sz w:val="24"/>
                <w:szCs w:val="24"/>
                <w:lang w:eastAsia="en-US"/>
              </w:rPr>
            </w:pPr>
            <w:r w:rsidRPr="007E2FF4">
              <w:rPr>
                <w:rFonts w:ascii="Arial" w:eastAsia="Times New Roman" w:hAnsi="Arial" w:cs="Arial"/>
                <w:sz w:val="24"/>
                <w:szCs w:val="24"/>
                <w:lang w:eastAsia="en-US"/>
              </w:rPr>
              <w:t>&gt;= 99%</w:t>
            </w:r>
          </w:p>
        </w:tc>
        <w:tc>
          <w:tcPr>
            <w:tcW w:w="1276" w:type="dxa"/>
          </w:tcPr>
          <w:p w14:paraId="4C46A8AB" w14:textId="77777777" w:rsidR="00F52F1D" w:rsidRPr="007E2FF4" w:rsidRDefault="00F52F1D" w:rsidP="00AC78BF">
            <w:pPr>
              <w:overflowPunct w:val="0"/>
              <w:autoSpaceDE w:val="0"/>
              <w:adjustRightInd w:val="0"/>
              <w:spacing w:after="120"/>
              <w:ind w:left="95"/>
              <w:jc w:val="both"/>
              <w:rPr>
                <w:rFonts w:ascii="Arial" w:eastAsia="Times New Roman" w:hAnsi="Arial" w:cs="Arial"/>
                <w:color w:val="FF0000"/>
                <w:sz w:val="24"/>
                <w:szCs w:val="24"/>
                <w:lang w:eastAsia="en-US"/>
              </w:rPr>
            </w:pPr>
          </w:p>
        </w:tc>
        <w:tc>
          <w:tcPr>
            <w:tcW w:w="1134" w:type="dxa"/>
          </w:tcPr>
          <w:p w14:paraId="4DC1918B" w14:textId="77777777" w:rsidR="00F52F1D" w:rsidRPr="007E2FF4" w:rsidRDefault="00F52F1D" w:rsidP="00AC78BF">
            <w:pPr>
              <w:overflowPunct w:val="0"/>
              <w:autoSpaceDE w:val="0"/>
              <w:adjustRightInd w:val="0"/>
              <w:spacing w:after="120"/>
              <w:ind w:left="95"/>
              <w:jc w:val="both"/>
              <w:rPr>
                <w:rFonts w:ascii="Arial" w:eastAsia="Times New Roman" w:hAnsi="Arial" w:cs="Arial"/>
                <w:sz w:val="24"/>
                <w:szCs w:val="24"/>
                <w:lang w:eastAsia="en-US"/>
              </w:rPr>
            </w:pPr>
          </w:p>
        </w:tc>
      </w:tr>
      <w:tr w:rsidR="00F52F1D" w:rsidRPr="00C91257" w14:paraId="016CFCAF" w14:textId="77777777" w:rsidTr="00AC78BF">
        <w:trPr>
          <w:trHeight w:val="1474"/>
        </w:trPr>
        <w:tc>
          <w:tcPr>
            <w:tcW w:w="1838" w:type="dxa"/>
          </w:tcPr>
          <w:p w14:paraId="1D763E48" w14:textId="77777777" w:rsidR="00F52F1D" w:rsidRPr="003D32DF" w:rsidRDefault="00F52F1D" w:rsidP="00AC78BF">
            <w:pPr>
              <w:overflowPunct w:val="0"/>
              <w:autoSpaceDE w:val="0"/>
              <w:adjustRightInd w:val="0"/>
              <w:spacing w:after="120"/>
              <w:ind w:left="61"/>
              <w:rPr>
                <w:rFonts w:ascii="Arial" w:eastAsia="Times New Roman" w:hAnsi="Arial" w:cs="Arial"/>
                <w:b/>
                <w:sz w:val="24"/>
                <w:lang w:eastAsia="en-US"/>
              </w:rPr>
            </w:pPr>
            <w:r w:rsidRPr="003D32DF">
              <w:rPr>
                <w:rFonts w:ascii="Arial" w:eastAsia="Times New Roman" w:hAnsi="Arial" w:cs="Arial"/>
                <w:b/>
                <w:sz w:val="24"/>
                <w:lang w:eastAsia="en-US"/>
              </w:rPr>
              <w:lastRenderedPageBreak/>
              <w:t>Call Off Contract Management</w:t>
            </w:r>
          </w:p>
        </w:tc>
        <w:tc>
          <w:tcPr>
            <w:tcW w:w="1849" w:type="dxa"/>
          </w:tcPr>
          <w:p w14:paraId="5C401F94"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All customer complaints to be acknowledged within one (1) Working Day of receipt</w:t>
            </w:r>
          </w:p>
        </w:tc>
        <w:tc>
          <w:tcPr>
            <w:tcW w:w="1241" w:type="dxa"/>
          </w:tcPr>
          <w:p w14:paraId="23085F49" w14:textId="77777777" w:rsidR="00F52F1D" w:rsidRPr="003D32DF" w:rsidRDefault="00F52F1D" w:rsidP="00AC78BF">
            <w:pPr>
              <w:overflowPunct w:val="0"/>
              <w:autoSpaceDE w:val="0"/>
              <w:adjustRightInd w:val="0"/>
              <w:spacing w:after="120"/>
              <w:jc w:val="both"/>
              <w:rPr>
                <w:rFonts w:ascii="Arial" w:eastAsia="Times New Roman" w:hAnsi="Arial" w:cs="Arial"/>
                <w:sz w:val="24"/>
                <w:lang w:eastAsia="en-US"/>
              </w:rPr>
            </w:pPr>
            <w:r w:rsidRPr="003D32DF">
              <w:rPr>
                <w:rFonts w:ascii="Arial" w:eastAsia="Times New Roman" w:hAnsi="Arial" w:cs="Arial"/>
                <w:sz w:val="24"/>
                <w:lang w:eastAsia="en-US"/>
              </w:rPr>
              <w:t>&lt; 97%</w:t>
            </w:r>
          </w:p>
        </w:tc>
        <w:tc>
          <w:tcPr>
            <w:tcW w:w="1417" w:type="dxa"/>
          </w:tcPr>
          <w:p w14:paraId="133C4A4A"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&gt; = 97% and &lt; 99%</w:t>
            </w:r>
          </w:p>
        </w:tc>
        <w:tc>
          <w:tcPr>
            <w:tcW w:w="1134" w:type="dxa"/>
          </w:tcPr>
          <w:p w14:paraId="0AFAB966" w14:textId="77777777" w:rsidR="00F52F1D" w:rsidRPr="003D32DF" w:rsidRDefault="00F52F1D" w:rsidP="00AC78BF">
            <w:pPr>
              <w:overflowPunct w:val="0"/>
              <w:autoSpaceDE w:val="0"/>
              <w:adjustRightInd w:val="0"/>
              <w:spacing w:after="120"/>
              <w:ind w:left="95"/>
              <w:jc w:val="both"/>
              <w:rPr>
                <w:rFonts w:ascii="Arial" w:eastAsia="Times New Roman" w:hAnsi="Arial" w:cs="Arial"/>
                <w:sz w:val="24"/>
                <w:lang w:eastAsia="en-US"/>
              </w:rPr>
            </w:pPr>
            <w:r w:rsidRPr="003D32DF">
              <w:rPr>
                <w:rFonts w:ascii="Arial" w:eastAsia="Times New Roman" w:hAnsi="Arial" w:cs="Arial"/>
                <w:sz w:val="24"/>
                <w:lang w:eastAsia="en-US"/>
              </w:rPr>
              <w:t>&gt; = 99%</w:t>
            </w:r>
          </w:p>
        </w:tc>
        <w:tc>
          <w:tcPr>
            <w:tcW w:w="1276" w:type="dxa"/>
          </w:tcPr>
          <w:p w14:paraId="4FA74097" w14:textId="77777777" w:rsidR="00F52F1D" w:rsidRPr="003D32DF"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5E65C615" w14:textId="77777777" w:rsidR="00F52F1D" w:rsidRPr="003D32DF" w:rsidRDefault="00F52F1D" w:rsidP="00AC78BF">
            <w:pPr>
              <w:overflowPunct w:val="0"/>
              <w:autoSpaceDE w:val="0"/>
              <w:adjustRightInd w:val="0"/>
              <w:spacing w:after="120"/>
              <w:ind w:left="95"/>
              <w:jc w:val="both"/>
              <w:rPr>
                <w:rFonts w:ascii="Arial" w:eastAsia="Times New Roman" w:hAnsi="Arial" w:cs="Arial"/>
                <w:lang w:eastAsia="en-US"/>
              </w:rPr>
            </w:pPr>
          </w:p>
        </w:tc>
      </w:tr>
      <w:tr w:rsidR="00F52F1D" w:rsidRPr="00C91257" w14:paraId="6CB5E2BD" w14:textId="77777777" w:rsidTr="00AC78BF">
        <w:trPr>
          <w:trHeight w:val="666"/>
        </w:trPr>
        <w:tc>
          <w:tcPr>
            <w:tcW w:w="1838" w:type="dxa"/>
          </w:tcPr>
          <w:p w14:paraId="4D266C03" w14:textId="77777777" w:rsidR="00F52F1D" w:rsidRPr="003D32DF" w:rsidRDefault="00F52F1D" w:rsidP="00AC78BF">
            <w:pPr>
              <w:overflowPunct w:val="0"/>
              <w:autoSpaceDE w:val="0"/>
              <w:adjustRightInd w:val="0"/>
              <w:spacing w:after="120"/>
              <w:ind w:left="61"/>
              <w:rPr>
                <w:rFonts w:ascii="Arial" w:eastAsia="Times New Roman" w:hAnsi="Arial" w:cs="Arial"/>
                <w:sz w:val="24"/>
                <w:lang w:eastAsia="en-US"/>
              </w:rPr>
            </w:pPr>
          </w:p>
        </w:tc>
        <w:tc>
          <w:tcPr>
            <w:tcW w:w="1849" w:type="dxa"/>
          </w:tcPr>
          <w:p w14:paraId="560A8FE6"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Customers to be updated regarding complaints resolution at an interval of every two (2) Working Days until Complaint resolved</w:t>
            </w:r>
          </w:p>
        </w:tc>
        <w:tc>
          <w:tcPr>
            <w:tcW w:w="1241" w:type="dxa"/>
          </w:tcPr>
          <w:p w14:paraId="6E3F4391" w14:textId="77777777" w:rsidR="00F52F1D" w:rsidRPr="003D32DF" w:rsidRDefault="00F52F1D" w:rsidP="00AC78BF">
            <w:pPr>
              <w:overflowPunct w:val="0"/>
              <w:autoSpaceDE w:val="0"/>
              <w:adjustRightInd w:val="0"/>
              <w:spacing w:after="120"/>
              <w:jc w:val="both"/>
              <w:rPr>
                <w:rFonts w:ascii="Arial" w:eastAsia="Times New Roman" w:hAnsi="Arial" w:cs="Arial"/>
                <w:sz w:val="24"/>
                <w:lang w:eastAsia="en-US"/>
              </w:rPr>
            </w:pPr>
            <w:r w:rsidRPr="003D32DF">
              <w:rPr>
                <w:rFonts w:ascii="Arial" w:eastAsia="Times New Roman" w:hAnsi="Arial" w:cs="Arial"/>
                <w:sz w:val="24"/>
                <w:lang w:eastAsia="en-US"/>
              </w:rPr>
              <w:t>&lt; 97%</w:t>
            </w:r>
          </w:p>
        </w:tc>
        <w:tc>
          <w:tcPr>
            <w:tcW w:w="1417" w:type="dxa"/>
          </w:tcPr>
          <w:p w14:paraId="0C1009CA"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&gt; = 97% and &lt; 99%</w:t>
            </w:r>
          </w:p>
        </w:tc>
        <w:tc>
          <w:tcPr>
            <w:tcW w:w="1134" w:type="dxa"/>
          </w:tcPr>
          <w:p w14:paraId="5E544473" w14:textId="77777777" w:rsidR="00F52F1D" w:rsidRPr="003D32DF" w:rsidRDefault="00F52F1D" w:rsidP="00AC78BF">
            <w:pPr>
              <w:overflowPunct w:val="0"/>
              <w:autoSpaceDE w:val="0"/>
              <w:adjustRightInd w:val="0"/>
              <w:spacing w:after="120"/>
              <w:ind w:left="95"/>
              <w:jc w:val="both"/>
              <w:rPr>
                <w:rFonts w:ascii="Arial" w:eastAsia="Times New Roman" w:hAnsi="Arial" w:cs="Arial"/>
                <w:sz w:val="24"/>
                <w:lang w:eastAsia="en-US"/>
              </w:rPr>
            </w:pPr>
            <w:r w:rsidRPr="003D32DF">
              <w:rPr>
                <w:rFonts w:ascii="Arial" w:eastAsia="Times New Roman" w:hAnsi="Arial" w:cs="Arial"/>
                <w:sz w:val="24"/>
                <w:lang w:eastAsia="en-US"/>
              </w:rPr>
              <w:t>&gt; = 99%</w:t>
            </w:r>
          </w:p>
        </w:tc>
        <w:tc>
          <w:tcPr>
            <w:tcW w:w="1276" w:type="dxa"/>
          </w:tcPr>
          <w:p w14:paraId="61D2E736" w14:textId="77777777" w:rsidR="00F52F1D" w:rsidRPr="003D32DF"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72FCF0FC" w14:textId="77777777" w:rsidR="00F52F1D" w:rsidRPr="003D32DF" w:rsidRDefault="00F52F1D" w:rsidP="00AC78BF">
            <w:pPr>
              <w:overflowPunct w:val="0"/>
              <w:autoSpaceDE w:val="0"/>
              <w:adjustRightInd w:val="0"/>
              <w:spacing w:after="120"/>
              <w:ind w:left="95"/>
              <w:jc w:val="both"/>
              <w:rPr>
                <w:rFonts w:ascii="Arial" w:eastAsia="Times New Roman" w:hAnsi="Arial" w:cs="Arial"/>
                <w:lang w:eastAsia="en-US"/>
              </w:rPr>
            </w:pPr>
          </w:p>
        </w:tc>
      </w:tr>
      <w:tr w:rsidR="00F52F1D" w:rsidRPr="00C91257" w14:paraId="30980C39" w14:textId="77777777" w:rsidTr="00AC78BF">
        <w:trPr>
          <w:trHeight w:val="666"/>
        </w:trPr>
        <w:tc>
          <w:tcPr>
            <w:tcW w:w="1838" w:type="dxa"/>
          </w:tcPr>
          <w:p w14:paraId="18C85BC8" w14:textId="77777777" w:rsidR="00F52F1D" w:rsidRPr="003D32DF" w:rsidRDefault="00F52F1D" w:rsidP="00AC78BF">
            <w:pPr>
              <w:overflowPunct w:val="0"/>
              <w:autoSpaceDE w:val="0"/>
              <w:adjustRightInd w:val="0"/>
              <w:spacing w:after="120"/>
              <w:ind w:left="61"/>
              <w:rPr>
                <w:rFonts w:ascii="Arial" w:eastAsia="Times New Roman" w:hAnsi="Arial" w:cs="Arial"/>
                <w:sz w:val="24"/>
                <w:lang w:eastAsia="en-US"/>
              </w:rPr>
            </w:pPr>
          </w:p>
        </w:tc>
        <w:tc>
          <w:tcPr>
            <w:tcW w:w="1849" w:type="dxa"/>
          </w:tcPr>
          <w:p w14:paraId="5975C984"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Consolidated report detailing usage of the contract to be received by the 5</w:t>
            </w:r>
            <w:r w:rsidRPr="003D32DF">
              <w:rPr>
                <w:rFonts w:ascii="Arial" w:eastAsia="Times New Roman" w:hAnsi="Arial" w:cs="Arial"/>
                <w:sz w:val="24"/>
                <w:vertAlign w:val="superscript"/>
                <w:lang w:eastAsia="en-US"/>
              </w:rPr>
              <w:t>th</w:t>
            </w:r>
            <w:r w:rsidRPr="003D32DF">
              <w:rPr>
                <w:rFonts w:ascii="Arial" w:eastAsia="Times New Roman" w:hAnsi="Arial" w:cs="Arial"/>
                <w:sz w:val="24"/>
                <w:lang w:eastAsia="en-US"/>
              </w:rPr>
              <w:t xml:space="preserve"> working day of each month for the term of the contract.</w:t>
            </w:r>
          </w:p>
        </w:tc>
        <w:tc>
          <w:tcPr>
            <w:tcW w:w="1241" w:type="dxa"/>
          </w:tcPr>
          <w:p w14:paraId="16C0C032" w14:textId="77777777" w:rsidR="00F52F1D" w:rsidRPr="003D32DF" w:rsidRDefault="00F52F1D" w:rsidP="00AC78BF">
            <w:pPr>
              <w:overflowPunct w:val="0"/>
              <w:autoSpaceDE w:val="0"/>
              <w:adjustRightInd w:val="0"/>
              <w:spacing w:after="120"/>
              <w:jc w:val="both"/>
              <w:rPr>
                <w:rFonts w:ascii="Arial" w:eastAsia="Times New Roman" w:hAnsi="Arial" w:cs="Arial"/>
                <w:sz w:val="24"/>
                <w:lang w:eastAsia="en-US"/>
              </w:rPr>
            </w:pPr>
          </w:p>
        </w:tc>
        <w:tc>
          <w:tcPr>
            <w:tcW w:w="1417" w:type="dxa"/>
          </w:tcPr>
          <w:p w14:paraId="7B99FF93"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p>
        </w:tc>
        <w:tc>
          <w:tcPr>
            <w:tcW w:w="1134" w:type="dxa"/>
          </w:tcPr>
          <w:p w14:paraId="5DEE9A32" w14:textId="77777777" w:rsidR="00F52F1D" w:rsidRPr="003D32DF" w:rsidRDefault="00F52F1D" w:rsidP="00AC78BF">
            <w:pPr>
              <w:overflowPunct w:val="0"/>
              <w:autoSpaceDE w:val="0"/>
              <w:adjustRightInd w:val="0"/>
              <w:spacing w:after="120"/>
              <w:ind w:left="95"/>
              <w:jc w:val="both"/>
              <w:rPr>
                <w:rFonts w:ascii="Arial" w:eastAsia="Times New Roman" w:hAnsi="Arial" w:cs="Arial"/>
                <w:sz w:val="24"/>
                <w:lang w:eastAsia="en-US"/>
              </w:rPr>
            </w:pPr>
          </w:p>
        </w:tc>
        <w:tc>
          <w:tcPr>
            <w:tcW w:w="1276" w:type="dxa"/>
          </w:tcPr>
          <w:p w14:paraId="259E4A4E" w14:textId="77777777" w:rsidR="00F52F1D" w:rsidRPr="003D32DF"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44955985" w14:textId="77777777" w:rsidR="00F52F1D" w:rsidRPr="003D32DF" w:rsidRDefault="00F52F1D" w:rsidP="00AC78BF">
            <w:pPr>
              <w:overflowPunct w:val="0"/>
              <w:autoSpaceDE w:val="0"/>
              <w:adjustRightInd w:val="0"/>
              <w:spacing w:after="120"/>
              <w:ind w:left="95"/>
              <w:jc w:val="both"/>
              <w:rPr>
                <w:rFonts w:ascii="Arial" w:eastAsia="Times New Roman" w:hAnsi="Arial" w:cs="Arial"/>
                <w:lang w:eastAsia="en-US"/>
              </w:rPr>
            </w:pPr>
          </w:p>
        </w:tc>
      </w:tr>
      <w:tr w:rsidR="00F52F1D" w:rsidRPr="00C91257" w14:paraId="5C75AB02" w14:textId="77777777" w:rsidTr="00AC78BF">
        <w:trPr>
          <w:trHeight w:val="1474"/>
        </w:trPr>
        <w:tc>
          <w:tcPr>
            <w:tcW w:w="1838" w:type="dxa"/>
          </w:tcPr>
          <w:p w14:paraId="5419B66E" w14:textId="77777777" w:rsidR="00F52F1D" w:rsidRPr="003D32DF" w:rsidRDefault="00F52F1D" w:rsidP="00AC78BF">
            <w:pPr>
              <w:overflowPunct w:val="0"/>
              <w:autoSpaceDE w:val="0"/>
              <w:adjustRightInd w:val="0"/>
              <w:spacing w:after="120"/>
              <w:ind w:left="61"/>
              <w:rPr>
                <w:rFonts w:ascii="Arial" w:eastAsia="Times New Roman" w:hAnsi="Arial" w:cs="Arial"/>
                <w:b/>
                <w:sz w:val="24"/>
                <w:lang w:eastAsia="en-US"/>
              </w:rPr>
            </w:pPr>
          </w:p>
        </w:tc>
        <w:tc>
          <w:tcPr>
            <w:tcW w:w="1849" w:type="dxa"/>
          </w:tcPr>
          <w:p w14:paraId="79787DFD"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 xml:space="preserve">All customer satisfaction surveys to meet agreed target measures </w:t>
            </w:r>
          </w:p>
        </w:tc>
        <w:tc>
          <w:tcPr>
            <w:tcW w:w="1241" w:type="dxa"/>
          </w:tcPr>
          <w:p w14:paraId="1E863F8F" w14:textId="77777777" w:rsidR="00F52F1D" w:rsidRPr="003D32DF" w:rsidRDefault="00F52F1D" w:rsidP="00AC78BF">
            <w:pPr>
              <w:overflowPunct w:val="0"/>
              <w:autoSpaceDE w:val="0"/>
              <w:adjustRightInd w:val="0"/>
              <w:spacing w:after="120"/>
              <w:rPr>
                <w:rFonts w:ascii="Arial" w:eastAsia="Times New Roman" w:hAnsi="Arial" w:cs="Arial"/>
                <w:sz w:val="24"/>
                <w:lang w:eastAsia="en-US"/>
              </w:rPr>
            </w:pPr>
            <w:r w:rsidRPr="003D32DF">
              <w:rPr>
                <w:rFonts w:ascii="Arial" w:eastAsia="Times New Roman" w:hAnsi="Arial" w:cs="Arial"/>
                <w:sz w:val="24"/>
                <w:lang w:eastAsia="en-US"/>
              </w:rPr>
              <w:t>&lt; 90%</w:t>
            </w:r>
          </w:p>
        </w:tc>
        <w:tc>
          <w:tcPr>
            <w:tcW w:w="1417" w:type="dxa"/>
          </w:tcPr>
          <w:p w14:paraId="1F41131D"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&gt; = 90% and &lt; 95%</w:t>
            </w:r>
          </w:p>
        </w:tc>
        <w:tc>
          <w:tcPr>
            <w:tcW w:w="1134" w:type="dxa"/>
          </w:tcPr>
          <w:p w14:paraId="1E8701ED" w14:textId="77777777" w:rsidR="00F52F1D" w:rsidRPr="003D32DF" w:rsidRDefault="00F52F1D" w:rsidP="00AC78BF">
            <w:pPr>
              <w:overflowPunct w:val="0"/>
              <w:autoSpaceDE w:val="0"/>
              <w:adjustRightInd w:val="0"/>
              <w:spacing w:after="120"/>
              <w:ind w:left="95"/>
              <w:rPr>
                <w:rFonts w:ascii="Arial" w:eastAsia="Times New Roman" w:hAnsi="Arial" w:cs="Arial"/>
                <w:sz w:val="24"/>
                <w:lang w:eastAsia="en-US"/>
              </w:rPr>
            </w:pPr>
            <w:r w:rsidRPr="003D32DF">
              <w:rPr>
                <w:rFonts w:ascii="Arial" w:eastAsia="Times New Roman" w:hAnsi="Arial" w:cs="Arial"/>
                <w:sz w:val="24"/>
                <w:lang w:eastAsia="en-US"/>
              </w:rPr>
              <w:t>&gt; = 95%</w:t>
            </w:r>
          </w:p>
        </w:tc>
        <w:tc>
          <w:tcPr>
            <w:tcW w:w="1276" w:type="dxa"/>
          </w:tcPr>
          <w:p w14:paraId="3C619207" w14:textId="77777777" w:rsidR="00F52F1D" w:rsidRPr="003D32DF"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062BE17A" w14:textId="77777777" w:rsidR="00F52F1D" w:rsidRPr="003D32DF" w:rsidRDefault="00F52F1D" w:rsidP="00AC78BF">
            <w:pPr>
              <w:overflowPunct w:val="0"/>
              <w:autoSpaceDE w:val="0"/>
              <w:adjustRightInd w:val="0"/>
              <w:spacing w:after="120"/>
              <w:ind w:left="95"/>
              <w:jc w:val="both"/>
              <w:rPr>
                <w:rFonts w:ascii="Arial" w:eastAsia="Times New Roman" w:hAnsi="Arial" w:cs="Arial"/>
                <w:lang w:eastAsia="en-US"/>
              </w:rPr>
            </w:pPr>
          </w:p>
        </w:tc>
      </w:tr>
      <w:tr w:rsidR="00F52F1D" w:rsidRPr="00C91257" w14:paraId="678DC160" w14:textId="77777777" w:rsidTr="00AC78BF">
        <w:trPr>
          <w:trHeight w:val="1474"/>
        </w:trPr>
        <w:tc>
          <w:tcPr>
            <w:tcW w:w="1838" w:type="dxa"/>
          </w:tcPr>
          <w:p w14:paraId="292E5394" w14:textId="77777777" w:rsidR="00F52F1D" w:rsidRPr="000F5C16" w:rsidRDefault="00F52F1D" w:rsidP="00AC78BF">
            <w:pPr>
              <w:overflowPunct w:val="0"/>
              <w:autoSpaceDE w:val="0"/>
              <w:adjustRightInd w:val="0"/>
              <w:spacing w:after="120"/>
              <w:ind w:left="61"/>
              <w:jc w:val="both"/>
              <w:rPr>
                <w:rFonts w:ascii="Arial" w:eastAsia="STZhongsong" w:hAnsi="Arial" w:cs="Arial"/>
                <w:b/>
                <w:sz w:val="24"/>
              </w:rPr>
            </w:pPr>
            <w:r w:rsidRPr="000F5C16">
              <w:rPr>
                <w:rFonts w:ascii="Arial" w:eastAsia="Times New Roman" w:hAnsi="Arial" w:cs="Arial"/>
                <w:b/>
                <w:sz w:val="24"/>
                <w:lang w:eastAsia="en-US"/>
              </w:rPr>
              <w:lastRenderedPageBreak/>
              <w:t>Telephone and Email Support Services</w:t>
            </w:r>
          </w:p>
          <w:p w14:paraId="71492529" w14:textId="77777777" w:rsidR="00F52F1D" w:rsidRPr="000F5C16" w:rsidRDefault="00F52F1D" w:rsidP="00AC78BF">
            <w:pPr>
              <w:overflowPunct w:val="0"/>
              <w:autoSpaceDE w:val="0"/>
              <w:adjustRightInd w:val="0"/>
              <w:spacing w:after="120"/>
              <w:ind w:left="61"/>
              <w:jc w:val="both"/>
              <w:rPr>
                <w:rFonts w:ascii="Arial" w:eastAsia="Times New Roman" w:hAnsi="Arial" w:cs="Arial"/>
                <w:sz w:val="24"/>
                <w:lang w:eastAsia="en-US"/>
              </w:rPr>
            </w:pPr>
          </w:p>
        </w:tc>
        <w:tc>
          <w:tcPr>
            <w:tcW w:w="1849" w:type="dxa"/>
          </w:tcPr>
          <w:p w14:paraId="1E239247" w14:textId="77777777" w:rsidR="00F52F1D" w:rsidRPr="000F5C16" w:rsidRDefault="00F52F1D" w:rsidP="00AC78BF">
            <w:pPr>
              <w:overflowPunct w:val="0"/>
              <w:autoSpaceDE w:val="0"/>
              <w:adjustRightInd w:val="0"/>
              <w:spacing w:after="120"/>
              <w:ind w:left="95"/>
              <w:rPr>
                <w:rFonts w:ascii="Arial" w:eastAsia="Times New Roman" w:hAnsi="Arial" w:cs="Arial"/>
                <w:sz w:val="24"/>
                <w:lang w:eastAsia="en-US"/>
              </w:rPr>
            </w:pPr>
            <w:r w:rsidRPr="000F5C16">
              <w:rPr>
                <w:rFonts w:ascii="Arial" w:eastAsia="Times New Roman" w:hAnsi="Arial" w:cs="Arial"/>
                <w:sz w:val="24"/>
                <w:lang w:eastAsia="en-US"/>
              </w:rPr>
              <w:t>Telephone support services to be available Monday – Friday, 08:00 to 17:30.</w:t>
            </w:r>
          </w:p>
        </w:tc>
        <w:tc>
          <w:tcPr>
            <w:tcW w:w="1241" w:type="dxa"/>
          </w:tcPr>
          <w:p w14:paraId="55AF7559" w14:textId="77777777" w:rsidR="00F52F1D" w:rsidRPr="000F5C16" w:rsidRDefault="00F52F1D" w:rsidP="00AC78BF">
            <w:pPr>
              <w:overflowPunct w:val="0"/>
              <w:autoSpaceDE w:val="0"/>
              <w:adjustRightInd w:val="0"/>
              <w:spacing w:after="120"/>
              <w:jc w:val="both"/>
              <w:rPr>
                <w:rFonts w:ascii="Arial" w:eastAsia="Times New Roman" w:hAnsi="Arial" w:cs="Arial"/>
                <w:sz w:val="24"/>
                <w:lang w:eastAsia="en-US"/>
              </w:rPr>
            </w:pPr>
            <w:r w:rsidRPr="000F5C16">
              <w:rPr>
                <w:rFonts w:ascii="Arial" w:eastAsia="Times New Roman" w:hAnsi="Arial" w:cs="Arial"/>
                <w:sz w:val="24"/>
                <w:lang w:eastAsia="en-US"/>
              </w:rPr>
              <w:t>&lt;100%</w:t>
            </w:r>
          </w:p>
          <w:p w14:paraId="4735C314" w14:textId="77777777" w:rsidR="00F52F1D" w:rsidRPr="000F5C16" w:rsidRDefault="00F52F1D" w:rsidP="00AC78BF">
            <w:pPr>
              <w:overflowPunct w:val="0"/>
              <w:autoSpaceDE w:val="0"/>
              <w:adjustRightInd w:val="0"/>
              <w:spacing w:after="120"/>
              <w:ind w:left="1418"/>
              <w:jc w:val="both"/>
              <w:rPr>
                <w:rFonts w:ascii="Arial" w:eastAsia="Times New Roman" w:hAnsi="Arial" w:cs="Arial"/>
                <w:sz w:val="24"/>
                <w:lang w:eastAsia="en-US"/>
              </w:rPr>
            </w:pPr>
          </w:p>
        </w:tc>
        <w:tc>
          <w:tcPr>
            <w:tcW w:w="1417" w:type="dxa"/>
          </w:tcPr>
          <w:p w14:paraId="7489B7BF" w14:textId="77777777" w:rsidR="00F52F1D" w:rsidRPr="000F5C16" w:rsidRDefault="00F52F1D" w:rsidP="00AC78BF">
            <w:pPr>
              <w:overflowPunct w:val="0"/>
              <w:autoSpaceDE w:val="0"/>
              <w:adjustRightInd w:val="0"/>
              <w:spacing w:after="120"/>
              <w:ind w:left="95"/>
              <w:jc w:val="both"/>
              <w:rPr>
                <w:rFonts w:ascii="Arial" w:eastAsia="Times New Roman" w:hAnsi="Arial" w:cs="Arial"/>
                <w:sz w:val="24"/>
                <w:lang w:eastAsia="en-US"/>
              </w:rPr>
            </w:pPr>
          </w:p>
        </w:tc>
        <w:tc>
          <w:tcPr>
            <w:tcW w:w="1134" w:type="dxa"/>
          </w:tcPr>
          <w:p w14:paraId="625B004A" w14:textId="77777777" w:rsidR="00F52F1D" w:rsidRPr="000F5C16" w:rsidRDefault="00F52F1D" w:rsidP="00AC78BF">
            <w:pPr>
              <w:overflowPunct w:val="0"/>
              <w:autoSpaceDE w:val="0"/>
              <w:adjustRightInd w:val="0"/>
              <w:spacing w:after="120"/>
              <w:ind w:left="95"/>
              <w:jc w:val="both"/>
              <w:rPr>
                <w:rFonts w:ascii="Arial" w:eastAsia="Times New Roman" w:hAnsi="Arial" w:cs="Arial"/>
                <w:sz w:val="24"/>
                <w:lang w:eastAsia="en-US"/>
              </w:rPr>
            </w:pPr>
            <w:r w:rsidRPr="000F5C16">
              <w:rPr>
                <w:rFonts w:ascii="Arial" w:eastAsia="Times New Roman" w:hAnsi="Arial" w:cs="Arial"/>
                <w:sz w:val="24"/>
                <w:lang w:eastAsia="en-US"/>
              </w:rPr>
              <w:t>100%</w:t>
            </w:r>
          </w:p>
        </w:tc>
        <w:tc>
          <w:tcPr>
            <w:tcW w:w="1276" w:type="dxa"/>
          </w:tcPr>
          <w:p w14:paraId="5826F1EB" w14:textId="77777777" w:rsidR="00F52F1D" w:rsidRPr="000F5C16"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691BB8CF" w14:textId="77777777" w:rsidR="00F52F1D" w:rsidRPr="000F5C16" w:rsidRDefault="00F52F1D" w:rsidP="00AC78BF">
            <w:pPr>
              <w:overflowPunct w:val="0"/>
              <w:autoSpaceDE w:val="0"/>
              <w:adjustRightInd w:val="0"/>
              <w:spacing w:after="120"/>
              <w:ind w:left="95"/>
              <w:jc w:val="both"/>
              <w:rPr>
                <w:rFonts w:ascii="Arial" w:eastAsia="Times New Roman" w:hAnsi="Arial" w:cs="Arial"/>
                <w:lang w:eastAsia="en-US"/>
              </w:rPr>
            </w:pPr>
          </w:p>
        </w:tc>
      </w:tr>
      <w:tr w:rsidR="00F52F1D" w:rsidRPr="00C91257" w14:paraId="273563FB" w14:textId="77777777" w:rsidTr="00AC78BF">
        <w:trPr>
          <w:trHeight w:val="886"/>
        </w:trPr>
        <w:tc>
          <w:tcPr>
            <w:tcW w:w="1838" w:type="dxa"/>
          </w:tcPr>
          <w:p w14:paraId="44407A75" w14:textId="77777777" w:rsidR="00F52F1D" w:rsidRPr="000F5C16" w:rsidRDefault="00F52F1D" w:rsidP="00AC78BF">
            <w:pPr>
              <w:overflowPunct w:val="0"/>
              <w:autoSpaceDE w:val="0"/>
              <w:adjustRightInd w:val="0"/>
              <w:spacing w:after="120"/>
              <w:ind w:left="61"/>
              <w:jc w:val="both"/>
              <w:rPr>
                <w:rFonts w:ascii="Arial" w:eastAsia="Times New Roman" w:hAnsi="Arial" w:cs="Arial"/>
                <w:sz w:val="24"/>
                <w:lang w:eastAsia="en-US"/>
              </w:rPr>
            </w:pPr>
          </w:p>
        </w:tc>
        <w:tc>
          <w:tcPr>
            <w:tcW w:w="1849" w:type="dxa"/>
          </w:tcPr>
          <w:p w14:paraId="78A6BAA2" w14:textId="77777777" w:rsidR="00F52F1D" w:rsidRPr="000F5C16" w:rsidRDefault="00F52F1D" w:rsidP="00AC78BF">
            <w:pPr>
              <w:overflowPunct w:val="0"/>
              <w:autoSpaceDE w:val="0"/>
              <w:adjustRightInd w:val="0"/>
              <w:spacing w:after="120"/>
              <w:ind w:left="95"/>
              <w:rPr>
                <w:rFonts w:ascii="Arial" w:eastAsia="Times New Roman" w:hAnsi="Arial" w:cs="Arial"/>
                <w:sz w:val="24"/>
                <w:lang w:eastAsia="en-US"/>
              </w:rPr>
            </w:pPr>
            <w:r w:rsidRPr="000F5C16">
              <w:rPr>
                <w:rFonts w:ascii="Arial" w:eastAsia="Times New Roman" w:hAnsi="Arial" w:cs="Arial"/>
                <w:sz w:val="24"/>
                <w:lang w:eastAsia="en-US"/>
              </w:rPr>
              <w:t>All queries to Email support Service to be responded to within one (1) working day</w:t>
            </w:r>
          </w:p>
        </w:tc>
        <w:tc>
          <w:tcPr>
            <w:tcW w:w="1241" w:type="dxa"/>
          </w:tcPr>
          <w:p w14:paraId="2F52DAC7" w14:textId="77777777" w:rsidR="00F52F1D" w:rsidRPr="000F5C16" w:rsidRDefault="00F52F1D" w:rsidP="00AC78BF">
            <w:pPr>
              <w:overflowPunct w:val="0"/>
              <w:autoSpaceDE w:val="0"/>
              <w:adjustRightInd w:val="0"/>
              <w:spacing w:after="120"/>
              <w:jc w:val="both"/>
              <w:rPr>
                <w:rFonts w:ascii="Arial" w:eastAsia="Times New Roman" w:hAnsi="Arial" w:cs="Arial"/>
                <w:sz w:val="24"/>
                <w:lang w:eastAsia="en-US"/>
              </w:rPr>
            </w:pPr>
            <w:r w:rsidRPr="000F5C16">
              <w:rPr>
                <w:rFonts w:ascii="Arial" w:eastAsia="Times New Roman" w:hAnsi="Arial" w:cs="Arial"/>
                <w:sz w:val="24"/>
                <w:lang w:eastAsia="en-US"/>
              </w:rPr>
              <w:t>&lt;100%</w:t>
            </w:r>
          </w:p>
          <w:p w14:paraId="189FDCF0" w14:textId="77777777" w:rsidR="00F52F1D" w:rsidRPr="000F5C16" w:rsidRDefault="00F52F1D" w:rsidP="00AC78BF">
            <w:pPr>
              <w:overflowPunct w:val="0"/>
              <w:autoSpaceDE w:val="0"/>
              <w:adjustRightInd w:val="0"/>
              <w:spacing w:after="120"/>
              <w:ind w:left="1418"/>
              <w:jc w:val="both"/>
              <w:rPr>
                <w:rFonts w:ascii="Arial" w:eastAsia="Times New Roman" w:hAnsi="Arial" w:cs="Arial"/>
                <w:sz w:val="24"/>
                <w:lang w:eastAsia="en-US"/>
              </w:rPr>
            </w:pPr>
          </w:p>
        </w:tc>
        <w:tc>
          <w:tcPr>
            <w:tcW w:w="1417" w:type="dxa"/>
          </w:tcPr>
          <w:p w14:paraId="47EB9218" w14:textId="77777777" w:rsidR="00F52F1D" w:rsidRPr="000F5C16" w:rsidRDefault="00F52F1D" w:rsidP="00AC78BF">
            <w:pPr>
              <w:overflowPunct w:val="0"/>
              <w:autoSpaceDE w:val="0"/>
              <w:adjustRightInd w:val="0"/>
              <w:spacing w:after="120"/>
              <w:ind w:left="95"/>
              <w:jc w:val="both"/>
              <w:rPr>
                <w:rFonts w:ascii="Arial" w:eastAsia="Times New Roman" w:hAnsi="Arial" w:cs="Arial"/>
                <w:sz w:val="24"/>
                <w:lang w:eastAsia="en-US"/>
              </w:rPr>
            </w:pPr>
          </w:p>
        </w:tc>
        <w:tc>
          <w:tcPr>
            <w:tcW w:w="1134" w:type="dxa"/>
          </w:tcPr>
          <w:p w14:paraId="33507152" w14:textId="77777777" w:rsidR="00F52F1D" w:rsidRPr="000F5C16" w:rsidRDefault="00F52F1D" w:rsidP="00AC78BF">
            <w:pPr>
              <w:overflowPunct w:val="0"/>
              <w:autoSpaceDE w:val="0"/>
              <w:adjustRightInd w:val="0"/>
              <w:spacing w:after="120"/>
              <w:ind w:left="95"/>
              <w:jc w:val="both"/>
              <w:rPr>
                <w:rFonts w:ascii="Arial" w:eastAsia="Times New Roman" w:hAnsi="Arial" w:cs="Arial"/>
                <w:sz w:val="24"/>
                <w:lang w:eastAsia="en-US"/>
              </w:rPr>
            </w:pPr>
            <w:r w:rsidRPr="000F5C16">
              <w:rPr>
                <w:rFonts w:ascii="Arial" w:eastAsia="Times New Roman" w:hAnsi="Arial" w:cs="Arial"/>
                <w:sz w:val="24"/>
                <w:lang w:eastAsia="en-US"/>
              </w:rPr>
              <w:t>100%</w:t>
            </w:r>
          </w:p>
        </w:tc>
        <w:tc>
          <w:tcPr>
            <w:tcW w:w="1276" w:type="dxa"/>
          </w:tcPr>
          <w:p w14:paraId="30181F05" w14:textId="77777777" w:rsidR="00F52F1D" w:rsidRPr="000F5C16" w:rsidRDefault="00F52F1D" w:rsidP="00AC78BF">
            <w:pPr>
              <w:overflowPunct w:val="0"/>
              <w:autoSpaceDE w:val="0"/>
              <w:adjustRightInd w:val="0"/>
              <w:spacing w:after="120"/>
              <w:ind w:left="95"/>
              <w:jc w:val="both"/>
              <w:rPr>
                <w:rFonts w:ascii="Arial" w:eastAsia="Times New Roman" w:hAnsi="Arial" w:cs="Arial"/>
                <w:color w:val="FF0000"/>
                <w:sz w:val="24"/>
                <w:lang w:eastAsia="en-US"/>
              </w:rPr>
            </w:pPr>
          </w:p>
        </w:tc>
        <w:tc>
          <w:tcPr>
            <w:tcW w:w="1134" w:type="dxa"/>
          </w:tcPr>
          <w:p w14:paraId="286AE08E" w14:textId="77777777" w:rsidR="00F52F1D" w:rsidRPr="000F5C16" w:rsidRDefault="00F52F1D" w:rsidP="00AC78BF">
            <w:pPr>
              <w:overflowPunct w:val="0"/>
              <w:autoSpaceDE w:val="0"/>
              <w:adjustRightInd w:val="0"/>
              <w:spacing w:after="120"/>
              <w:ind w:left="95"/>
              <w:jc w:val="both"/>
              <w:rPr>
                <w:rFonts w:ascii="Arial" w:eastAsia="Times New Roman" w:hAnsi="Arial" w:cs="Arial"/>
                <w:lang w:eastAsia="en-US"/>
              </w:rPr>
            </w:pPr>
          </w:p>
        </w:tc>
      </w:tr>
      <w:tr w:rsidR="000F5C16" w:rsidRPr="00C91257" w14:paraId="072D5B6F" w14:textId="77777777" w:rsidTr="00AC78BF">
        <w:trPr>
          <w:trHeight w:val="886"/>
        </w:trPr>
        <w:tc>
          <w:tcPr>
            <w:tcW w:w="1838" w:type="dxa"/>
          </w:tcPr>
          <w:p w14:paraId="46495718" w14:textId="77777777" w:rsidR="000F5C16" w:rsidRPr="005464B1" w:rsidRDefault="000F5C16" w:rsidP="00AC78BF">
            <w:pPr>
              <w:overflowPunct w:val="0"/>
              <w:autoSpaceDE w:val="0"/>
              <w:adjustRightInd w:val="0"/>
              <w:spacing w:after="120"/>
              <w:ind w:left="61"/>
              <w:jc w:val="both"/>
              <w:rPr>
                <w:rFonts w:eastAsia="Times New Roman" w:cs="Arial"/>
                <w:sz w:val="24"/>
                <w:lang w:eastAsia="en-US"/>
              </w:rPr>
            </w:pPr>
          </w:p>
        </w:tc>
        <w:tc>
          <w:tcPr>
            <w:tcW w:w="1849" w:type="dxa"/>
          </w:tcPr>
          <w:p w14:paraId="069F156E" w14:textId="77777777" w:rsidR="000F5C16" w:rsidRPr="005464B1" w:rsidRDefault="000F5C16" w:rsidP="00AC78BF">
            <w:pPr>
              <w:overflowPunct w:val="0"/>
              <w:autoSpaceDE w:val="0"/>
              <w:adjustRightInd w:val="0"/>
              <w:spacing w:after="120"/>
              <w:ind w:left="95"/>
              <w:rPr>
                <w:rFonts w:eastAsia="Times New Roman" w:cs="Arial"/>
                <w:sz w:val="24"/>
                <w:lang w:eastAsia="en-US"/>
              </w:rPr>
            </w:pPr>
          </w:p>
        </w:tc>
        <w:tc>
          <w:tcPr>
            <w:tcW w:w="1241" w:type="dxa"/>
          </w:tcPr>
          <w:p w14:paraId="2005CB0B" w14:textId="77777777" w:rsidR="000F5C16" w:rsidRPr="005464B1" w:rsidRDefault="000F5C16" w:rsidP="00AC78BF">
            <w:pPr>
              <w:overflowPunct w:val="0"/>
              <w:autoSpaceDE w:val="0"/>
              <w:adjustRightInd w:val="0"/>
              <w:spacing w:after="120"/>
              <w:jc w:val="both"/>
              <w:rPr>
                <w:rFonts w:eastAsia="Times New Roman" w:cs="Arial"/>
                <w:sz w:val="24"/>
                <w:lang w:eastAsia="en-US"/>
              </w:rPr>
            </w:pPr>
          </w:p>
        </w:tc>
        <w:tc>
          <w:tcPr>
            <w:tcW w:w="1417" w:type="dxa"/>
          </w:tcPr>
          <w:p w14:paraId="194B33AC" w14:textId="77777777" w:rsidR="000F5C16" w:rsidRPr="005464B1" w:rsidRDefault="000F5C16" w:rsidP="00AC78BF">
            <w:pPr>
              <w:overflowPunct w:val="0"/>
              <w:autoSpaceDE w:val="0"/>
              <w:adjustRightInd w:val="0"/>
              <w:spacing w:after="120"/>
              <w:ind w:left="95"/>
              <w:jc w:val="both"/>
              <w:rPr>
                <w:rFonts w:eastAsia="Times New Roman" w:cs="Arial"/>
                <w:sz w:val="24"/>
                <w:lang w:eastAsia="en-US"/>
              </w:rPr>
            </w:pPr>
          </w:p>
        </w:tc>
        <w:tc>
          <w:tcPr>
            <w:tcW w:w="1134" w:type="dxa"/>
          </w:tcPr>
          <w:p w14:paraId="750A1CAE" w14:textId="77777777" w:rsidR="000F5C16" w:rsidRPr="005464B1" w:rsidRDefault="000F5C16" w:rsidP="00AC78BF">
            <w:pPr>
              <w:overflowPunct w:val="0"/>
              <w:autoSpaceDE w:val="0"/>
              <w:adjustRightInd w:val="0"/>
              <w:spacing w:after="120"/>
              <w:ind w:left="95"/>
              <w:jc w:val="both"/>
              <w:rPr>
                <w:rFonts w:eastAsia="Times New Roman" w:cs="Arial"/>
                <w:sz w:val="24"/>
                <w:lang w:eastAsia="en-US"/>
              </w:rPr>
            </w:pPr>
          </w:p>
        </w:tc>
        <w:tc>
          <w:tcPr>
            <w:tcW w:w="1276" w:type="dxa"/>
          </w:tcPr>
          <w:p w14:paraId="1FFB3F31" w14:textId="77777777" w:rsidR="000F5C16" w:rsidRPr="005464B1" w:rsidRDefault="000F5C16" w:rsidP="00AC78BF">
            <w:pPr>
              <w:overflowPunct w:val="0"/>
              <w:autoSpaceDE w:val="0"/>
              <w:adjustRightInd w:val="0"/>
              <w:spacing w:after="120"/>
              <w:ind w:left="95"/>
              <w:jc w:val="both"/>
              <w:rPr>
                <w:rFonts w:eastAsia="Times New Roman" w:cs="Arial"/>
                <w:color w:val="FF0000"/>
                <w:sz w:val="24"/>
                <w:lang w:eastAsia="en-US"/>
              </w:rPr>
            </w:pPr>
          </w:p>
        </w:tc>
        <w:tc>
          <w:tcPr>
            <w:tcW w:w="1134" w:type="dxa"/>
          </w:tcPr>
          <w:p w14:paraId="04B3F792" w14:textId="77777777" w:rsidR="000F5C16" w:rsidRPr="00C91257" w:rsidRDefault="000F5C16" w:rsidP="00AC78BF">
            <w:pPr>
              <w:overflowPunct w:val="0"/>
              <w:autoSpaceDE w:val="0"/>
              <w:adjustRightInd w:val="0"/>
              <w:spacing w:after="120"/>
              <w:ind w:left="95"/>
              <w:jc w:val="both"/>
              <w:rPr>
                <w:rFonts w:eastAsia="Times New Roman" w:cs="Arial"/>
                <w:lang w:eastAsia="en-US"/>
              </w:rPr>
            </w:pPr>
          </w:p>
        </w:tc>
      </w:tr>
    </w:tbl>
    <w:p w14:paraId="7219580F" w14:textId="77777777" w:rsidR="00F52F1D" w:rsidRPr="00F52F1D" w:rsidRDefault="00F52F1D" w:rsidP="00F52F1D">
      <w:pPr>
        <w:rPr>
          <w:rFonts w:eastAsia="STZhongsong"/>
          <w:b/>
        </w:rPr>
      </w:pPr>
    </w:p>
    <w:p w14:paraId="51543421" w14:textId="77777777" w:rsidR="00C03B08" w:rsidRDefault="00C03B08">
      <w:pPr>
        <w:pStyle w:val="Standard"/>
        <w:spacing w:after="0" w:line="240" w:lineRule="auto"/>
        <w:rPr>
          <w:rFonts w:ascii="Times New Roman" w:eastAsia="Times New Roman" w:hAnsi="Times New Roman"/>
          <w:sz w:val="24"/>
          <w:szCs w:val="24"/>
        </w:rPr>
      </w:pPr>
    </w:p>
    <w:p w14:paraId="2660B96C" w14:textId="77777777" w:rsidR="00C03B08" w:rsidRDefault="00D43EBA">
      <w:pPr>
        <w:pStyle w:val="Standard"/>
        <w:keepNext/>
        <w:spacing w:after="240" w:line="240" w:lineRule="auto"/>
      </w:pPr>
      <w:r>
        <w:rPr>
          <w:rFonts w:ascii="Times New Roman" w:eastAsia="Times New Roman" w:hAnsi="Times New Roman"/>
          <w:color w:val="000000"/>
          <w:sz w:val="24"/>
          <w:szCs w:val="24"/>
        </w:rPr>
        <w:br/>
      </w:r>
      <w:r>
        <w:rPr>
          <w:rFonts w:ascii="Arial Bold" w:eastAsia="Arial Bold" w:hAnsi="Arial Bold" w:cs="Arial Bold"/>
          <w:b/>
          <w:color w:val="000000"/>
          <w:sz w:val="36"/>
          <w:szCs w:val="36"/>
        </w:rPr>
        <w:t>Credits Table</w:t>
      </w:r>
    </w:p>
    <w:p w14:paraId="67B61922" w14:textId="562D1C5E" w:rsidR="00C03B08" w:rsidRDefault="00D43EBA">
      <w:pPr>
        <w:pStyle w:val="Standard"/>
        <w:ind w:left="709"/>
      </w:pPr>
      <w:r w:rsidRPr="008C0FFD">
        <w:rPr>
          <w:rFonts w:ascii="Arial" w:eastAsia="Arial" w:hAnsi="Arial" w:cs="Arial"/>
          <w:sz w:val="24"/>
          <w:szCs w:val="24"/>
        </w:rPr>
        <w:t>The following</w:t>
      </w:r>
      <w:r>
        <w:rPr>
          <w:rFonts w:ascii="Arial" w:eastAsia="Arial" w:hAnsi="Arial" w:cs="Arial"/>
          <w:sz w:val="24"/>
          <w:szCs w:val="24"/>
        </w:rPr>
        <w:t xml:space="preserve"> are included by way of example only. Procurement-specific Servic</w:t>
      </w:r>
      <w:r w:rsidR="003D32DF">
        <w:rPr>
          <w:rFonts w:ascii="Arial" w:eastAsia="Arial" w:hAnsi="Arial" w:cs="Arial"/>
          <w:sz w:val="24"/>
          <w:szCs w:val="24"/>
        </w:rPr>
        <w:t>e Levels should be incorporated</w:t>
      </w:r>
    </w:p>
    <w:p w14:paraId="4FEF1055" w14:textId="77777777" w:rsidR="00C03B08" w:rsidRDefault="00C03B08">
      <w:pPr>
        <w:pStyle w:val="Standard"/>
        <w:ind w:left="709"/>
        <w:rPr>
          <w:rFonts w:ascii="Arial" w:eastAsia="Arial" w:hAnsi="Arial" w:cs="Arial"/>
          <w:sz w:val="24"/>
          <w:szCs w:val="24"/>
          <w:shd w:val="clear" w:color="auto" w:fill="00FF00"/>
        </w:rPr>
      </w:pPr>
    </w:p>
    <w:p w14:paraId="215264B2" w14:textId="77777777" w:rsidR="00C03B08" w:rsidRDefault="00D43EBA">
      <w:pPr>
        <w:pStyle w:val="Standard"/>
        <w:ind w:left="709"/>
      </w:pPr>
      <w:r>
        <w:rPr>
          <w:rFonts w:ascii="Arial" w:eastAsia="Arial" w:hAnsi="Arial" w:cs="Arial"/>
          <w:sz w:val="24"/>
          <w:szCs w:val="24"/>
        </w:rPr>
        <w:t>The Service Credits shall be calculated on the basis of the following formula:</w:t>
      </w:r>
    </w:p>
    <w:p w14:paraId="70EDD601" w14:textId="761808F7" w:rsidR="00C03B08" w:rsidRDefault="00C03B08">
      <w:pPr>
        <w:pStyle w:val="Standard"/>
        <w:ind w:left="709"/>
      </w:pPr>
    </w:p>
    <w:tbl>
      <w:tblPr>
        <w:tblW w:w="9026" w:type="dxa"/>
        <w:tblLayout w:type="fixed"/>
        <w:tblCellMar>
          <w:left w:w="10" w:type="dxa"/>
          <w:right w:w="10" w:type="dxa"/>
        </w:tblCellMar>
        <w:tblLook w:val="04A0" w:firstRow="1" w:lastRow="0" w:firstColumn="1" w:lastColumn="0" w:noHBand="0" w:noVBand="1"/>
      </w:tblPr>
      <w:tblGrid>
        <w:gridCol w:w="4374"/>
        <w:gridCol w:w="685"/>
        <w:gridCol w:w="3967"/>
      </w:tblGrid>
      <w:tr w:rsidR="00C03B08" w14:paraId="7CEAD286" w14:textId="77777777">
        <w:tc>
          <w:tcPr>
            <w:tcW w:w="4374" w:type="dxa"/>
            <w:tcMar>
              <w:top w:w="0" w:type="dxa"/>
              <w:left w:w="108" w:type="dxa"/>
              <w:bottom w:w="0" w:type="dxa"/>
              <w:right w:w="108" w:type="dxa"/>
            </w:tcMar>
          </w:tcPr>
          <w:p w14:paraId="6F37E04B" w14:textId="77777777" w:rsidR="00C03B08" w:rsidRDefault="00D43EBA">
            <w:pPr>
              <w:pStyle w:val="Standard"/>
              <w:ind w:left="567"/>
            </w:pPr>
            <w:r>
              <w:rPr>
                <w:rFonts w:ascii="Arial" w:eastAsia="Arial" w:hAnsi="Arial" w:cs="Arial"/>
                <w:sz w:val="24"/>
                <w:szCs w:val="24"/>
              </w:rPr>
              <w:t xml:space="preserve">Formula: x% (Service Level Performance Measure) - x% (actual Service Level performance)  </w:t>
            </w:r>
          </w:p>
        </w:tc>
        <w:tc>
          <w:tcPr>
            <w:tcW w:w="685" w:type="dxa"/>
            <w:tcMar>
              <w:top w:w="0" w:type="dxa"/>
              <w:left w:w="108" w:type="dxa"/>
              <w:bottom w:w="0" w:type="dxa"/>
              <w:right w:w="108" w:type="dxa"/>
            </w:tcMar>
          </w:tcPr>
          <w:p w14:paraId="4DA487DE" w14:textId="77777777" w:rsidR="00C03B08" w:rsidRDefault="00D43EBA">
            <w:pPr>
              <w:pStyle w:val="Standard"/>
              <w:ind w:left="211"/>
            </w:pPr>
            <w:r>
              <w:rPr>
                <w:rFonts w:ascii="Arial" w:eastAsia="Arial" w:hAnsi="Arial" w:cs="Arial"/>
                <w:sz w:val="24"/>
                <w:szCs w:val="24"/>
              </w:rPr>
              <w:t>=</w:t>
            </w:r>
          </w:p>
        </w:tc>
        <w:tc>
          <w:tcPr>
            <w:tcW w:w="3967" w:type="dxa"/>
            <w:tcMar>
              <w:top w:w="0" w:type="dxa"/>
              <w:left w:w="108" w:type="dxa"/>
              <w:bottom w:w="0" w:type="dxa"/>
              <w:right w:w="108" w:type="dxa"/>
            </w:tcMar>
          </w:tcPr>
          <w:p w14:paraId="3BFD3BC5" w14:textId="77777777" w:rsidR="00C03B08" w:rsidRDefault="00D43EBA">
            <w:pPr>
              <w:pStyle w:val="Standard"/>
              <w:ind w:left="145"/>
            </w:pPr>
            <w:r>
              <w:rPr>
                <w:rFonts w:ascii="Arial" w:eastAsia="Arial" w:hAnsi="Arial" w:cs="Arial"/>
                <w:sz w:val="24"/>
                <w:szCs w:val="24"/>
              </w:rPr>
              <w:t>x% of the Charges payable to the Buyer as Service Credits to be deducted from the next Invoice payable by the Buyer</w:t>
            </w:r>
          </w:p>
        </w:tc>
      </w:tr>
      <w:tr w:rsidR="00C03B08" w14:paraId="3A96B023" w14:textId="77777777">
        <w:tc>
          <w:tcPr>
            <w:tcW w:w="4374" w:type="dxa"/>
            <w:tcMar>
              <w:top w:w="0" w:type="dxa"/>
              <w:left w:w="108" w:type="dxa"/>
              <w:bottom w:w="0" w:type="dxa"/>
              <w:right w:w="108" w:type="dxa"/>
            </w:tcMar>
          </w:tcPr>
          <w:p w14:paraId="579B5657" w14:textId="77777777" w:rsidR="00C03B08" w:rsidRDefault="00D43EBA">
            <w:pPr>
              <w:pStyle w:val="Standard"/>
              <w:ind w:left="567"/>
            </w:pPr>
            <w:r>
              <w:rPr>
                <w:rFonts w:ascii="Arial" w:eastAsia="Arial" w:hAnsi="Arial" w:cs="Arial"/>
                <w:sz w:val="24"/>
                <w:szCs w:val="24"/>
              </w:rPr>
              <w:lastRenderedPageBreak/>
              <w:t>Worked example: 98% (e.g. Service Level Performance Measure requirement for accurate and timely billing Service Level) - 75% (e.g. actual performance achieved against this Service Level in a Service Period)</w:t>
            </w:r>
          </w:p>
          <w:p w14:paraId="7D4C2497" w14:textId="77777777" w:rsidR="00C03B08" w:rsidRDefault="00C03B08">
            <w:pPr>
              <w:pStyle w:val="Standard"/>
              <w:ind w:left="567"/>
              <w:rPr>
                <w:rFonts w:ascii="Arial" w:eastAsia="Arial" w:hAnsi="Arial" w:cs="Arial"/>
                <w:sz w:val="24"/>
                <w:szCs w:val="24"/>
              </w:rPr>
            </w:pPr>
          </w:p>
        </w:tc>
        <w:tc>
          <w:tcPr>
            <w:tcW w:w="685" w:type="dxa"/>
            <w:tcMar>
              <w:top w:w="0" w:type="dxa"/>
              <w:left w:w="108" w:type="dxa"/>
              <w:bottom w:w="0" w:type="dxa"/>
              <w:right w:w="108" w:type="dxa"/>
            </w:tcMar>
          </w:tcPr>
          <w:p w14:paraId="6D249EA7" w14:textId="77777777" w:rsidR="00C03B08" w:rsidRDefault="00D43EBA">
            <w:pPr>
              <w:pStyle w:val="Standard"/>
              <w:ind w:left="211"/>
            </w:pPr>
            <w:r>
              <w:rPr>
                <w:rFonts w:ascii="Arial" w:eastAsia="Arial" w:hAnsi="Arial" w:cs="Arial"/>
                <w:sz w:val="24"/>
                <w:szCs w:val="24"/>
              </w:rPr>
              <w:t>=</w:t>
            </w:r>
          </w:p>
        </w:tc>
        <w:tc>
          <w:tcPr>
            <w:tcW w:w="3967" w:type="dxa"/>
            <w:tcMar>
              <w:top w:w="0" w:type="dxa"/>
              <w:left w:w="108" w:type="dxa"/>
              <w:bottom w:w="0" w:type="dxa"/>
              <w:right w:w="108" w:type="dxa"/>
            </w:tcMar>
          </w:tcPr>
          <w:p w14:paraId="30E758CA" w14:textId="77777777" w:rsidR="00C03B08" w:rsidRDefault="00D43EBA">
            <w:pPr>
              <w:pStyle w:val="Standard"/>
              <w:ind w:left="145"/>
            </w:pPr>
            <w:r>
              <w:rPr>
                <w:rFonts w:ascii="Arial" w:eastAsia="Arial" w:hAnsi="Arial" w:cs="Arial"/>
                <w:sz w:val="24"/>
                <w:szCs w:val="24"/>
              </w:rPr>
              <w:t>23% of the Charges payable to the Buyer as Service Credits to be deducted from the next Invoice payable by the Buyer]</w:t>
            </w:r>
          </w:p>
          <w:p w14:paraId="36461B6B" w14:textId="77777777" w:rsidR="00C03B08" w:rsidRDefault="00C03B08">
            <w:pPr>
              <w:pStyle w:val="Standard"/>
              <w:ind w:left="145"/>
              <w:rPr>
                <w:rFonts w:ascii="Arial" w:eastAsia="Arial" w:hAnsi="Arial" w:cs="Arial"/>
                <w:sz w:val="24"/>
                <w:szCs w:val="24"/>
              </w:rPr>
            </w:pPr>
          </w:p>
        </w:tc>
      </w:tr>
    </w:tbl>
    <w:p w14:paraId="41F00781" w14:textId="77777777" w:rsidR="00C03B08" w:rsidRDefault="00D43EBA">
      <w:pPr>
        <w:pStyle w:val="Standard"/>
        <w:keepNext/>
        <w:spacing w:after="240" w:line="240" w:lineRule="auto"/>
      </w:pPr>
      <w:r>
        <w:rPr>
          <w:rFonts w:ascii="Arial Bold" w:eastAsia="Arial Bold" w:hAnsi="Arial Bold" w:cs="Arial Bold"/>
          <w:b/>
          <w:color w:val="000000"/>
          <w:sz w:val="36"/>
          <w:szCs w:val="36"/>
        </w:rPr>
        <w:t>Part B: Performance Monitoring</w:t>
      </w:r>
    </w:p>
    <w:p w14:paraId="305CC312" w14:textId="77777777" w:rsidR="00C03B08" w:rsidRDefault="00D43EBA">
      <w:pPr>
        <w:pStyle w:val="Standard"/>
        <w:numPr>
          <w:ilvl w:val="0"/>
          <w:numId w:val="6"/>
        </w:numPr>
        <w:tabs>
          <w:tab w:val="left" w:pos="862"/>
        </w:tabs>
        <w:spacing w:before="240" w:after="120" w:line="240" w:lineRule="auto"/>
      </w:pPr>
      <w:r>
        <w:rPr>
          <w:rFonts w:ascii="Arial Bold" w:eastAsia="Arial Bold" w:hAnsi="Arial Bold" w:cs="Arial Bold"/>
          <w:b/>
          <w:color w:val="000000"/>
          <w:sz w:val="24"/>
          <w:szCs w:val="24"/>
        </w:rPr>
        <w:t>Performance Monitoring and Performance Review</w:t>
      </w:r>
    </w:p>
    <w:p w14:paraId="71B44FE5"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2D69F389" w14:textId="77777777" w:rsidR="00C03B08" w:rsidRDefault="00D43EBA">
      <w:pPr>
        <w:pStyle w:val="Standard"/>
        <w:keepNext/>
        <w:numPr>
          <w:ilvl w:val="1"/>
          <w:numId w:val="6"/>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54B0A59C"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17CE3F85"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5E678FBB"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details of any Critical Service Level Failures;</w:t>
      </w:r>
    </w:p>
    <w:p w14:paraId="4601DE89"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50C3134C"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66C8292B"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such other details as the Buyer may reasonably require from time to time.</w:t>
      </w:r>
    </w:p>
    <w:p w14:paraId="27E0394E" w14:textId="4D051D62" w:rsidR="00C03B08" w:rsidRDefault="00D43EBA">
      <w:pPr>
        <w:pStyle w:val="Standard"/>
        <w:keepNext/>
        <w:numPr>
          <w:ilvl w:val="1"/>
          <w:numId w:val="6"/>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3D32DF">
        <w:rPr>
          <w:rFonts w:ascii="Arial" w:eastAsia="Arial" w:hAnsi="Arial" w:cs="Arial"/>
          <w:color w:val="000000"/>
          <w:sz w:val="24"/>
          <w:szCs w:val="24"/>
        </w:rPr>
        <w:t>Quarterly</w:t>
      </w:r>
      <w:bookmarkStart w:id="0" w:name="_GoBack"/>
      <w:bookmarkEnd w:id="0"/>
      <w:r>
        <w:rPr>
          <w:rFonts w:ascii="Arial" w:eastAsia="Arial" w:hAnsi="Arial" w:cs="Arial"/>
          <w:color w:val="000000"/>
          <w:sz w:val="24"/>
          <w:szCs w:val="24"/>
        </w:rPr>
        <w:t xml:space="preserve"> basis. The Performance Review Meetings will be the forum for the review by the Supplier and the Buyer of the Performance Monitoring Reports.  The Performance Review Meetings shall:</w:t>
      </w:r>
    </w:p>
    <w:p w14:paraId="60032147"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 xml:space="preserve">take place within one (1) week of the Performance Monitoring Reports being issued by the Supplier at such location and time </w:t>
      </w:r>
      <w:r>
        <w:rPr>
          <w:rFonts w:ascii="Arial" w:eastAsia="Arial" w:hAnsi="Arial" w:cs="Arial"/>
          <w:color w:val="000000"/>
          <w:sz w:val="24"/>
          <w:szCs w:val="24"/>
        </w:rPr>
        <w:lastRenderedPageBreak/>
        <w:t>(within normal business hours) as the Buyer shall reasonably require;</w:t>
      </w:r>
    </w:p>
    <w:p w14:paraId="7320869E"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be attended by the Supplier's Representative and the Buyer’s Representative; and</w:t>
      </w:r>
    </w:p>
    <w:p w14:paraId="41D955D5" w14:textId="77777777" w:rsidR="00C03B08" w:rsidRDefault="00D43EBA">
      <w:pPr>
        <w:pStyle w:val="Standard"/>
        <w:numPr>
          <w:ilvl w:val="2"/>
          <w:numId w:val="6"/>
        </w:numPr>
        <w:spacing w:before="120" w:after="120" w:line="240" w:lineRule="auto"/>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49BE9EBA"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30DC10F3"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58309C8" w14:textId="77777777" w:rsidR="00C03B08" w:rsidRDefault="00C03B08">
      <w:pPr>
        <w:pStyle w:val="Standard"/>
        <w:spacing w:before="120" w:after="120" w:line="240" w:lineRule="auto"/>
        <w:ind w:left="1440" w:hanging="576"/>
        <w:rPr>
          <w:rFonts w:ascii="Arial" w:eastAsia="Arial" w:hAnsi="Arial" w:cs="Arial"/>
          <w:color w:val="000000"/>
          <w:sz w:val="24"/>
          <w:szCs w:val="24"/>
        </w:rPr>
      </w:pPr>
    </w:p>
    <w:p w14:paraId="0F1AE66C" w14:textId="77777777" w:rsidR="00C03B08" w:rsidRDefault="00D43EBA">
      <w:pPr>
        <w:pStyle w:val="Standard"/>
        <w:numPr>
          <w:ilvl w:val="0"/>
          <w:numId w:val="6"/>
        </w:numPr>
        <w:tabs>
          <w:tab w:val="left" w:pos="862"/>
        </w:tabs>
        <w:spacing w:before="240" w:after="120" w:line="240" w:lineRule="auto"/>
      </w:pPr>
      <w:r>
        <w:rPr>
          <w:rFonts w:ascii="Arial Bold" w:eastAsia="Arial Bold" w:hAnsi="Arial Bold" w:cs="Arial Bold"/>
          <w:b/>
          <w:color w:val="000000"/>
          <w:sz w:val="24"/>
          <w:szCs w:val="24"/>
        </w:rPr>
        <w:t>Satisfaction Surveys</w:t>
      </w:r>
    </w:p>
    <w:p w14:paraId="16066985" w14:textId="77777777" w:rsidR="00C03B08" w:rsidRDefault="00D43EBA">
      <w:pPr>
        <w:pStyle w:val="Standard"/>
        <w:numPr>
          <w:ilvl w:val="1"/>
          <w:numId w:val="6"/>
        </w:numP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F0AD435" w14:textId="77777777" w:rsidR="00C03B08" w:rsidRDefault="00C03B08">
      <w:pPr>
        <w:pStyle w:val="Standard"/>
        <w:spacing w:before="120" w:after="120" w:line="240" w:lineRule="auto"/>
        <w:ind w:left="936" w:hanging="576"/>
        <w:jc w:val="both"/>
      </w:pPr>
    </w:p>
    <w:p w14:paraId="2D7BB445" w14:textId="77777777" w:rsidR="00F52F1D" w:rsidRDefault="00F52F1D">
      <w:pPr>
        <w:pStyle w:val="Standard"/>
        <w:spacing w:before="120" w:after="120" w:line="240" w:lineRule="auto"/>
        <w:ind w:left="936" w:hanging="576"/>
        <w:jc w:val="both"/>
      </w:pPr>
    </w:p>
    <w:sectPr w:rsidR="00F52F1D">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7EC9F" w14:textId="77777777" w:rsidR="004D7291" w:rsidRDefault="004D7291">
      <w:r>
        <w:separator/>
      </w:r>
    </w:p>
  </w:endnote>
  <w:endnote w:type="continuationSeparator" w:id="0">
    <w:p w14:paraId="0D2F16FB" w14:textId="77777777" w:rsidR="004D7291" w:rsidRDefault="004D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Calibri"/>
    <w:charset w:val="00"/>
    <w:family w:val="auto"/>
    <w:pitch w:val="variable"/>
  </w:font>
  <w:font w:name="Liberation Sans">
    <w:charset w:val="00"/>
    <w:family w:val="swiss"/>
    <w:pitch w:val="variable"/>
  </w:font>
  <w:font w:name="Linux Libertine G">
    <w:charset w:val="00"/>
    <w:family w:val="auto"/>
    <w:pitch w:val="variable"/>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8E12A" w14:textId="77777777" w:rsidR="00524CBB" w:rsidRDefault="004D7291">
    <w:pPr>
      <w:pStyle w:val="Standard"/>
      <w:tabs>
        <w:tab w:val="center" w:pos="4513"/>
        <w:tab w:val="right" w:pos="9026"/>
      </w:tabs>
      <w:spacing w:after="0" w:line="240" w:lineRule="auto"/>
      <w:jc w:val="both"/>
    </w:pPr>
  </w:p>
  <w:p w14:paraId="04F6EAE7" w14:textId="5E94BF7A" w:rsidR="00524CBB" w:rsidRDefault="00D43EBA">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rsidR="003D32DF">
      <w:rPr>
        <w:noProof/>
      </w:rPr>
      <w:t>8</w:t>
    </w:r>
    <w:r>
      <w:fldChar w:fldCharType="end"/>
    </w:r>
  </w:p>
  <w:p w14:paraId="0F9E5DBD" w14:textId="77777777" w:rsidR="00524CBB" w:rsidRDefault="00D43EBA">
    <w:pPr>
      <w:pStyle w:val="Standard"/>
      <w:tabs>
        <w:tab w:val="center" w:pos="4513"/>
        <w:tab w:val="right" w:pos="9026"/>
      </w:tabs>
      <w:spacing w:after="0" w:line="240" w:lineRule="auto"/>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EF2E" w14:textId="77777777" w:rsidR="004D7291" w:rsidRDefault="004D7291">
      <w:r>
        <w:rPr>
          <w:color w:val="000000"/>
        </w:rPr>
        <w:separator/>
      </w:r>
    </w:p>
  </w:footnote>
  <w:footnote w:type="continuationSeparator" w:id="0">
    <w:p w14:paraId="11467273" w14:textId="77777777" w:rsidR="004D7291" w:rsidRDefault="004D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42225" w14:textId="77777777" w:rsidR="00524CBB" w:rsidRDefault="00D43EBA">
    <w:pPr>
      <w:pStyle w:val="Standard"/>
      <w:tabs>
        <w:tab w:val="center" w:pos="4513"/>
        <w:tab w:val="right" w:pos="9026"/>
      </w:tabs>
      <w:spacing w:after="0" w:line="240" w:lineRule="auto"/>
    </w:pPr>
    <w:r>
      <w:rPr>
        <w:rFonts w:ascii="Arial" w:eastAsia="Arial" w:hAnsi="Arial" w:cs="Arial"/>
        <w:b/>
        <w:color w:val="000000"/>
        <w:sz w:val="20"/>
        <w:szCs w:val="20"/>
      </w:rPr>
      <w:t>Call-Off Schedule 14 (Service Levels)</w:t>
    </w:r>
  </w:p>
  <w:p w14:paraId="211EAA4D" w14:textId="3EA17D98" w:rsidR="00524CBB" w:rsidRDefault="00D43EBA">
    <w:pPr>
      <w:pStyle w:val="Standard"/>
      <w:tabs>
        <w:tab w:val="center" w:pos="4513"/>
        <w:tab w:val="right" w:pos="9026"/>
      </w:tabs>
      <w:spacing w:after="0" w:line="240" w:lineRule="auto"/>
    </w:pPr>
    <w:r>
      <w:rPr>
        <w:rFonts w:ascii="Arial" w:eastAsia="Arial" w:hAnsi="Arial" w:cs="Arial"/>
        <w:color w:val="000000"/>
        <w:sz w:val="20"/>
        <w:szCs w:val="20"/>
      </w:rPr>
      <w:t>Call-Off Ref:</w:t>
    </w:r>
    <w:r w:rsidR="00AF2A77" w:rsidRPr="00AF2A77">
      <w:rPr>
        <w:rFonts w:ascii="Arial" w:eastAsia="Arial" w:hAnsi="Arial" w:cs="Arial"/>
        <w:sz w:val="20"/>
        <w:szCs w:val="20"/>
      </w:rPr>
      <w:t xml:space="preserve"> </w:t>
    </w:r>
    <w:r w:rsidR="00AF2A77">
      <w:rPr>
        <w:rFonts w:ascii="Segoe UI" w:hAnsi="Segoe UI" w:cs="Segoe UI"/>
        <w:color w:val="181818"/>
        <w:sz w:val="21"/>
        <w:szCs w:val="21"/>
        <w:shd w:val="clear" w:color="auto" w:fill="FFFFFF"/>
      </w:rPr>
      <w:t>CCSH22A01</w:t>
    </w:r>
  </w:p>
  <w:p w14:paraId="3078230A" w14:textId="77777777" w:rsidR="00524CBB" w:rsidRDefault="00D43EBA">
    <w:pPr>
      <w:pStyle w:val="Standard"/>
      <w:tabs>
        <w:tab w:val="center" w:pos="4513"/>
        <w:tab w:val="right" w:pos="9026"/>
      </w:tabs>
      <w:spacing w:after="0" w:line="240" w:lineRule="auto"/>
    </w:pPr>
    <w:r>
      <w:rPr>
        <w:rFonts w:ascii="Arial" w:eastAsia="Arial" w:hAnsi="Arial" w:cs="Arial"/>
        <w:color w:val="000000"/>
        <w:sz w:val="20"/>
        <w:szCs w:val="20"/>
      </w:rPr>
      <w:t>Crown Copyright 2020</w:t>
    </w:r>
  </w:p>
  <w:p w14:paraId="0BE51306" w14:textId="77777777" w:rsidR="00524CBB" w:rsidRDefault="004D7291">
    <w:pPr>
      <w:pStyle w:val="Standard"/>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C01B5"/>
    <w:multiLevelType w:val="multilevel"/>
    <w:tmpl w:val="5C2C9F1E"/>
    <w:styleLink w:val="WWNum3"/>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9C65E32"/>
    <w:multiLevelType w:val="multilevel"/>
    <w:tmpl w:val="E4AC284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37417F94"/>
    <w:multiLevelType w:val="multilevel"/>
    <w:tmpl w:val="38E0788A"/>
    <w:styleLink w:val="WWNum1"/>
    <w:lvl w:ilvl="0">
      <w:start w:val="1"/>
      <w:numFmt w:val="decimal"/>
      <w:lvlText w:val="%1."/>
      <w:lvlJc w:val="left"/>
      <w:pPr>
        <w:ind w:left="720" w:hanging="720"/>
      </w:pPr>
      <w:rPr>
        <w:rFonts w:eastAsia="Calibri" w:cs="Calibri"/>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6E4300D"/>
    <w:multiLevelType w:val="multilevel"/>
    <w:tmpl w:val="475AD25E"/>
    <w:styleLink w:val="WWNum2"/>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38A7082"/>
    <w:multiLevelType w:val="multilevel"/>
    <w:tmpl w:val="D11A6584"/>
    <w:styleLink w:val="WWNum5"/>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7A4466C"/>
    <w:multiLevelType w:val="multilevel"/>
    <w:tmpl w:val="BF6A0002"/>
    <w:styleLink w:val="WWNum4"/>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2"/>
  </w:num>
  <w:num w:numId="3">
    <w:abstractNumId w:val="3"/>
  </w:num>
  <w:num w:numId="4">
    <w:abstractNumId w:val="0"/>
  </w:num>
  <w:num w:numId="5">
    <w:abstractNumId w:val="5"/>
  </w:num>
  <w:num w:numId="6">
    <w:abstractNumId w:val="4"/>
  </w:num>
  <w:num w:numId="7">
    <w:abstractNumId w:val="3"/>
    <w:lvlOverride w:ilvl="0">
      <w:startOverride w:val="1"/>
    </w:lvlOverride>
  </w:num>
  <w:num w:numId="8">
    <w:abstractNumId w:val="0"/>
    <w:lvlOverride w:ilvl="0">
      <w:startOverride w:val="1"/>
    </w:lvlOverride>
  </w:num>
  <w:num w:numId="9">
    <w:abstractNumId w:val="4"/>
    <w:lvlOverride w:ilvl="0">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B08"/>
    <w:rsid w:val="00014F9F"/>
    <w:rsid w:val="000F5C16"/>
    <w:rsid w:val="001B405D"/>
    <w:rsid w:val="003D32DF"/>
    <w:rsid w:val="0041465C"/>
    <w:rsid w:val="00447E30"/>
    <w:rsid w:val="004D7291"/>
    <w:rsid w:val="00522651"/>
    <w:rsid w:val="005444E7"/>
    <w:rsid w:val="00636001"/>
    <w:rsid w:val="00742488"/>
    <w:rsid w:val="007E2FF4"/>
    <w:rsid w:val="008C0FFD"/>
    <w:rsid w:val="00AF2A77"/>
    <w:rsid w:val="00C03B08"/>
    <w:rsid w:val="00D43EBA"/>
    <w:rsid w:val="00D570FA"/>
    <w:rsid w:val="00F52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3CD0C"/>
  <w15:docId w15:val="{23B72F54-E4A0-4DBF-8D99-C1119319B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502"/>
      </w:tabs>
      <w:spacing w:before="240" w:after="120"/>
      <w:ind w:left="360" w:hanging="360"/>
      <w:jc w:val="both"/>
      <w:outlineLvl w:val="1"/>
    </w:pPr>
    <w:rPr>
      <w:rFonts w:eastAsia="STZhongsong" w:cs="Arial"/>
      <w:b/>
      <w:caps/>
    </w:rPr>
  </w:style>
  <w:style w:type="paragraph" w:customStyle="1" w:styleId="GPSL3numberedclause">
    <w:name w:val="GPS L3 numbered clause"/>
    <w:basedOn w:val="Normal"/>
    <w:pPr>
      <w:spacing w:before="120" w:after="12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502"/>
        <w:tab w:val="left" w:pos="360"/>
      </w:tabs>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DefinitionNumbering1">
    <w:name w:val="Definition Numbering 1"/>
    <w:basedOn w:val="Normal"/>
    <w:pPr>
      <w:spacing w:after="240"/>
      <w:jc w:val="both"/>
      <w:outlineLvl w:val="0"/>
    </w:pPr>
    <w:rPr>
      <w:rFonts w:ascii="Times New Roman" w:eastAsia="STZhongsong" w:hAnsi="Times New Roman" w:cs="Times New Roman"/>
      <w:szCs w:val="20"/>
    </w:rPr>
  </w:style>
  <w:style w:type="paragraph" w:styleId="Revision">
    <w:name w:val="Revision"/>
    <w:pPr>
      <w:widowControl/>
    </w:pPr>
    <w:rPr>
      <w:rFonts w:cs="Times New Roman"/>
    </w:rPr>
  </w:style>
  <w:style w:type="paragraph" w:styleId="NormalWeb">
    <w:name w:val="Normal (Web)"/>
    <w:basedOn w:val="Normal"/>
    <w:pPr>
      <w:spacing w:before="280" w:after="280"/>
    </w:pPr>
    <w:rPr>
      <w:rFonts w:ascii="Times New Roman" w:eastAsia="Times New Roman" w:hAnsi="Times New Roman" w:cs="Times New Roman"/>
      <w:sz w:val="24"/>
      <w:szCs w:val="24"/>
      <w:lang w:eastAsia="en-GB"/>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ListLabel1">
    <w:name w:val="ListLabel 1"/>
    <w:rPr>
      <w:rFonts w:eastAsia="Calibri" w:cs="Calibri"/>
      <w:b/>
      <w:i w:val="0"/>
      <w:caps w:val="0"/>
      <w:smallCaps w:val="0"/>
      <w:strike w:val="0"/>
      <w:dstrike w:val="0"/>
      <w:color w:val="000000"/>
      <w:position w:val="0"/>
      <w:sz w:val="22"/>
      <w:szCs w:val="22"/>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0">
    <w:name w:val="ListLabel 10"/>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rFonts w:ascii="Arial" w:eastAsia="Arial" w:hAnsi="Arial" w:cs="Arial"/>
      <w:b w:val="0"/>
      <w:sz w:val="24"/>
      <w:szCs w:val="22"/>
    </w:rPr>
  </w:style>
  <w:style w:type="character" w:customStyle="1" w:styleId="ListLabel14">
    <w:name w:val="ListLabel 14"/>
    <w:rPr>
      <w:rFonts w:eastAsia="Calibri" w:cs="Calibri"/>
      <w:b w:val="0"/>
      <w:i w:val="0"/>
      <w:caps w:val="0"/>
      <w:smallCaps w:val="0"/>
      <w:strike w:val="0"/>
      <w:dstrike w:val="0"/>
      <w:color w:val="000000"/>
      <w:position w:val="0"/>
      <w:u w:val="none"/>
      <w:vertAlign w:val="baseline"/>
    </w:rPr>
  </w:style>
  <w:style w:type="character" w:customStyle="1" w:styleId="ListLabel15">
    <w:name w:val="ListLabel 15"/>
    <w:rPr>
      <w:rFonts w:eastAsia="Arial" w:cs="Arial"/>
      <w:sz w:val="22"/>
      <w:szCs w:val="22"/>
    </w:rPr>
  </w:style>
  <w:style w:type="character" w:customStyle="1" w:styleId="ListLabel16">
    <w:name w:val="ListLabel 16"/>
    <w:rPr>
      <w:rFonts w:ascii="Arial" w:eastAsia="Noto Sans Symbols" w:hAnsi="Arial" w:cs="Noto Sans Symbols"/>
      <w:sz w:val="20"/>
      <w:szCs w:val="20"/>
    </w:rPr>
  </w:style>
  <w:style w:type="character" w:customStyle="1" w:styleId="ListLabel17">
    <w:name w:val="ListLabel 17"/>
    <w:rPr>
      <w:rFonts w:eastAsia="Courier New" w:cs="Courier New"/>
      <w:sz w:val="20"/>
      <w:szCs w:val="20"/>
    </w:rPr>
  </w:style>
  <w:style w:type="character" w:customStyle="1" w:styleId="ListLabel18">
    <w:name w:val="ListLabel 18"/>
    <w:rPr>
      <w:rFonts w:eastAsia="Noto Sans Symbols" w:cs="Noto Sans Symbols"/>
      <w:sz w:val="20"/>
      <w:szCs w:val="20"/>
    </w:rPr>
  </w:style>
  <w:style w:type="character" w:customStyle="1" w:styleId="ListLabel19">
    <w:name w:val="ListLabel 19"/>
    <w:rPr>
      <w:rFonts w:eastAsia="Noto Sans Symbols" w:cs="Noto Sans Symbols"/>
      <w:sz w:val="20"/>
      <w:szCs w:val="20"/>
    </w:rPr>
  </w:style>
  <w:style w:type="character" w:customStyle="1" w:styleId="ListLabel20">
    <w:name w:val="ListLabel 20"/>
    <w:rPr>
      <w:rFonts w:eastAsia="Noto Sans Symbols" w:cs="Noto Sans Symbols"/>
      <w:sz w:val="20"/>
      <w:szCs w:val="20"/>
    </w:rPr>
  </w:style>
  <w:style w:type="character" w:customStyle="1" w:styleId="ListLabel21">
    <w:name w:val="ListLabel 21"/>
    <w:rPr>
      <w:rFonts w:eastAsia="Noto Sans Symbols" w:cs="Noto Sans Symbols"/>
      <w:sz w:val="20"/>
      <w:szCs w:val="20"/>
    </w:rPr>
  </w:style>
  <w:style w:type="character" w:customStyle="1" w:styleId="ListLabel22">
    <w:name w:val="ListLabel 22"/>
    <w:rPr>
      <w:rFonts w:eastAsia="Noto Sans Symbols" w:cs="Noto Sans Symbols"/>
      <w:sz w:val="20"/>
      <w:szCs w:val="20"/>
    </w:rPr>
  </w:style>
  <w:style w:type="character" w:customStyle="1" w:styleId="ListLabel23">
    <w:name w:val="ListLabel 23"/>
    <w:rPr>
      <w:rFonts w:eastAsia="Noto Sans Symbols" w:cs="Noto Sans Symbols"/>
      <w:sz w:val="20"/>
      <w:szCs w:val="20"/>
    </w:rPr>
  </w:style>
  <w:style w:type="character" w:customStyle="1" w:styleId="ListLabel24">
    <w:name w:val="ListLabel 24"/>
    <w:rPr>
      <w:rFonts w:eastAsia="Noto Sans Symbols" w:cs="Noto Sans Symbols"/>
      <w:sz w:val="20"/>
      <w:szCs w:val="20"/>
    </w:rPr>
  </w:style>
  <w:style w:type="character" w:customStyle="1" w:styleId="ListLabel25">
    <w:name w:val="ListLabel 25"/>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6">
    <w:name w:val="ListLabel 26"/>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27">
    <w:name w:val="ListLabel 27"/>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28">
    <w:name w:val="ListLabel 28"/>
    <w:rPr>
      <w:rFonts w:eastAsia="Calibri" w:cs="Calibri"/>
      <w:b w:val="0"/>
      <w:i w:val="0"/>
      <w:caps w:val="0"/>
      <w:smallCaps w:val="0"/>
      <w:strike w:val="0"/>
      <w:dstrike w:val="0"/>
      <w:color w:val="000000"/>
      <w:position w:val="0"/>
      <w:sz w:val="22"/>
      <w:szCs w:val="22"/>
      <w:u w:val="none"/>
      <w:vertAlign w:val="baseline"/>
    </w:rPr>
  </w:style>
  <w:style w:type="character" w:customStyle="1" w:styleId="ListLabel29">
    <w:name w:val="ListLabel 29"/>
    <w:rPr>
      <w:b w:val="0"/>
      <w:i w:val="0"/>
      <w:caps w:val="0"/>
      <w:smallCaps w:val="0"/>
      <w:strike w:val="0"/>
      <w:dstrike w:val="0"/>
      <w:color w:val="000000"/>
      <w:position w:val="0"/>
      <w:u w:val="none"/>
      <w:vertAlign w:val="baseline"/>
    </w:rPr>
  </w:style>
  <w:style w:type="character" w:customStyle="1" w:styleId="ListLabel30">
    <w:name w:val="ListLabel 30"/>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paragraph" w:styleId="ListParagraph">
    <w:name w:val="List Paragraph"/>
    <w:basedOn w:val="Normal"/>
    <w:uiPriority w:val="34"/>
    <w:qFormat/>
    <w:rsid w:val="00F52F1D"/>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Candace Brooks</cp:lastModifiedBy>
  <cp:revision>12</cp:revision>
  <dcterms:created xsi:type="dcterms:W3CDTF">2022-02-14T14:30:00Z</dcterms:created>
  <dcterms:modified xsi:type="dcterms:W3CDTF">2022-02-22T08:31:00Z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